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490EE" w14:textId="02E08E1F" w:rsidR="006618C9" w:rsidRPr="00957588" w:rsidRDefault="00957588">
      <w:pPr>
        <w:rPr>
          <w:rFonts w:asciiTheme="minorHAnsi" w:hAnsiTheme="minorHAnsi" w:cstheme="minorHAnsi"/>
          <w:b/>
          <w:bCs/>
        </w:rPr>
      </w:pPr>
      <w:r w:rsidRPr="00957588">
        <w:rPr>
          <w:rFonts w:asciiTheme="minorHAnsi" w:hAnsiTheme="minorHAnsi" w:cstheme="minorHAnsi"/>
          <w:b/>
          <w:bCs/>
        </w:rPr>
        <w:t>DCP388 – alternative solution – overview</w:t>
      </w:r>
      <w:r w:rsidR="00516495">
        <w:rPr>
          <w:rFonts w:asciiTheme="minorHAnsi" w:hAnsiTheme="minorHAnsi" w:cstheme="minorHAnsi"/>
          <w:b/>
          <w:bCs/>
        </w:rPr>
        <w:t xml:space="preserve"> – 2/10/23</w:t>
      </w:r>
    </w:p>
    <w:p w14:paraId="796C0474" w14:textId="77777777" w:rsidR="00A66849" w:rsidRDefault="00957588" w:rsidP="00A66849">
      <w:pPr>
        <w:pStyle w:val="ListParagraph"/>
        <w:numPr>
          <w:ilvl w:val="0"/>
          <w:numId w:val="3"/>
        </w:numPr>
        <w:rPr>
          <w:rFonts w:asciiTheme="minorHAnsi" w:hAnsiTheme="minorHAnsi" w:cstheme="minorHAnsi"/>
        </w:rPr>
      </w:pPr>
      <w:r w:rsidRPr="00957588">
        <w:rPr>
          <w:rFonts w:asciiTheme="minorHAnsi" w:hAnsiTheme="minorHAnsi" w:cstheme="minorHAnsi"/>
        </w:rPr>
        <w:t>As agreed by the full DCP388 Working Group at its meeting on 8.9.23, a subgroup</w:t>
      </w:r>
      <w:r>
        <w:rPr>
          <w:rFonts w:asciiTheme="minorHAnsi" w:hAnsiTheme="minorHAnsi" w:cstheme="minorHAnsi"/>
        </w:rPr>
        <w:t xml:space="preserve"> consisting of four Working Group members</w:t>
      </w:r>
      <w:r w:rsidRPr="00957588">
        <w:rPr>
          <w:rFonts w:asciiTheme="minorHAnsi" w:hAnsiTheme="minorHAnsi" w:cstheme="minorHAnsi"/>
        </w:rPr>
        <w:t xml:space="preserve"> </w:t>
      </w:r>
      <w:r w:rsidR="00AD7125">
        <w:rPr>
          <w:rFonts w:asciiTheme="minorHAnsi" w:hAnsiTheme="minorHAnsi" w:cstheme="minorHAnsi"/>
        </w:rPr>
        <w:t>is</w:t>
      </w:r>
      <w:r w:rsidRPr="00957588">
        <w:rPr>
          <w:rFonts w:asciiTheme="minorHAnsi" w:hAnsiTheme="minorHAnsi" w:cstheme="minorHAnsi"/>
        </w:rPr>
        <w:t xml:space="preserve"> develop</w:t>
      </w:r>
      <w:r w:rsidR="00AD7125">
        <w:rPr>
          <w:rFonts w:asciiTheme="minorHAnsi" w:hAnsiTheme="minorHAnsi" w:cstheme="minorHAnsi"/>
        </w:rPr>
        <w:t>ing</w:t>
      </w:r>
      <w:r w:rsidRPr="00957588">
        <w:rPr>
          <w:rFonts w:asciiTheme="minorHAnsi" w:hAnsiTheme="minorHAnsi" w:cstheme="minorHAnsi"/>
        </w:rPr>
        <w:t xml:space="preserve"> an alternative solution for the Working Group to consider, following the review of the responses to the second consultation.</w:t>
      </w:r>
      <w:r w:rsidR="00A66849">
        <w:rPr>
          <w:rFonts w:asciiTheme="minorHAnsi" w:hAnsiTheme="minorHAnsi" w:cstheme="minorHAnsi"/>
        </w:rPr>
        <w:t xml:space="preserve"> </w:t>
      </w:r>
      <w:r w:rsidR="00A66849">
        <w:rPr>
          <w:rFonts w:asciiTheme="minorHAnsi" w:hAnsiTheme="minorHAnsi" w:cstheme="minorHAnsi"/>
        </w:rPr>
        <w:br/>
      </w:r>
    </w:p>
    <w:p w14:paraId="48C10ED2" w14:textId="6D1E05AA" w:rsidR="00957588" w:rsidRPr="00A66849" w:rsidRDefault="00A66849" w:rsidP="00A66849">
      <w:pPr>
        <w:pStyle w:val="ListParagraph"/>
        <w:numPr>
          <w:ilvl w:val="0"/>
          <w:numId w:val="3"/>
        </w:numPr>
        <w:rPr>
          <w:rFonts w:asciiTheme="minorHAnsi" w:hAnsiTheme="minorHAnsi" w:cstheme="minorHAnsi"/>
        </w:rPr>
      </w:pPr>
      <w:r>
        <w:rPr>
          <w:rFonts w:asciiTheme="minorHAnsi" w:hAnsiTheme="minorHAnsi" w:cstheme="minorHAnsi"/>
        </w:rPr>
        <w:t>This note provides an</w:t>
      </w:r>
      <w:r w:rsidR="003A4C48">
        <w:rPr>
          <w:rFonts w:asciiTheme="minorHAnsi" w:hAnsiTheme="minorHAnsi" w:cstheme="minorHAnsi"/>
        </w:rPr>
        <w:t xml:space="preserve"> </w:t>
      </w:r>
      <w:r>
        <w:rPr>
          <w:rFonts w:asciiTheme="minorHAnsi" w:hAnsiTheme="minorHAnsi" w:cstheme="minorHAnsi"/>
        </w:rPr>
        <w:t>update</w:t>
      </w:r>
      <w:r w:rsidR="003A4C48">
        <w:rPr>
          <w:rFonts w:asciiTheme="minorHAnsi" w:hAnsiTheme="minorHAnsi" w:cstheme="minorHAnsi"/>
        </w:rPr>
        <w:t xml:space="preserve"> on the proposed alternative</w:t>
      </w:r>
      <w:r>
        <w:rPr>
          <w:rFonts w:asciiTheme="minorHAnsi" w:hAnsiTheme="minorHAnsi" w:cstheme="minorHAnsi"/>
        </w:rPr>
        <w:t xml:space="preserve"> to enable</w:t>
      </w:r>
      <w:r w:rsidR="003A4C48">
        <w:rPr>
          <w:rFonts w:asciiTheme="minorHAnsi" w:hAnsiTheme="minorHAnsi" w:cstheme="minorHAnsi"/>
        </w:rPr>
        <w:t xml:space="preserve"> a</w:t>
      </w:r>
      <w:r w:rsidR="00025C8A">
        <w:rPr>
          <w:rFonts w:asciiTheme="minorHAnsi" w:hAnsiTheme="minorHAnsi" w:cstheme="minorHAnsi"/>
        </w:rPr>
        <w:t xml:space="preserve"> </w:t>
      </w:r>
      <w:r>
        <w:rPr>
          <w:rFonts w:asciiTheme="minorHAnsi" w:hAnsiTheme="minorHAnsi" w:cstheme="minorHAnsi"/>
        </w:rPr>
        <w:t>discussion by the Working Group on 2.10.23.</w:t>
      </w:r>
      <w:r w:rsidR="00957588" w:rsidRPr="00A66849">
        <w:rPr>
          <w:rFonts w:asciiTheme="minorHAnsi" w:hAnsiTheme="minorHAnsi" w:cstheme="minorHAnsi"/>
        </w:rPr>
        <w:br/>
      </w:r>
    </w:p>
    <w:p w14:paraId="64A9A7B4" w14:textId="4F41BEB0" w:rsidR="00A66849" w:rsidRDefault="00025C8A" w:rsidP="00957588">
      <w:pPr>
        <w:pStyle w:val="ListParagraph"/>
        <w:numPr>
          <w:ilvl w:val="0"/>
          <w:numId w:val="3"/>
        </w:numPr>
        <w:rPr>
          <w:rFonts w:asciiTheme="minorHAnsi" w:hAnsiTheme="minorHAnsi" w:cstheme="minorHAnsi"/>
        </w:rPr>
      </w:pPr>
      <w:r>
        <w:rPr>
          <w:rFonts w:asciiTheme="minorHAnsi" w:hAnsiTheme="minorHAnsi" w:cstheme="minorHAnsi"/>
        </w:rPr>
        <w:t xml:space="preserve">In their consultation response, </w:t>
      </w:r>
      <w:r w:rsidRPr="0010460D">
        <w:rPr>
          <w:rFonts w:asciiTheme="minorHAnsi" w:hAnsiTheme="minorHAnsi" w:cstheme="minorHAnsi"/>
          <w:b/>
          <w:bCs/>
        </w:rPr>
        <w:t>s</w:t>
      </w:r>
      <w:r w:rsidR="00957588" w:rsidRPr="0010460D">
        <w:rPr>
          <w:rFonts w:asciiTheme="minorHAnsi" w:hAnsiTheme="minorHAnsi" w:cstheme="minorHAnsi"/>
          <w:b/>
          <w:bCs/>
        </w:rPr>
        <w:t>ome respondents raised a concern</w:t>
      </w:r>
      <w:r w:rsidR="00957588" w:rsidRPr="00957588">
        <w:rPr>
          <w:rFonts w:asciiTheme="minorHAnsi" w:hAnsiTheme="minorHAnsi" w:cstheme="minorHAnsi"/>
        </w:rPr>
        <w:t xml:space="preserve"> that the proposed approach for sites which are ordinarily banded based on their MIC but which are </w:t>
      </w:r>
      <w:r w:rsidR="00AD7125">
        <w:rPr>
          <w:rFonts w:asciiTheme="minorHAnsi" w:hAnsiTheme="minorHAnsi" w:cstheme="minorHAnsi"/>
        </w:rPr>
        <w:t>m</w:t>
      </w:r>
      <w:r w:rsidR="00957588" w:rsidRPr="00957588">
        <w:rPr>
          <w:rFonts w:asciiTheme="minorHAnsi" w:hAnsiTheme="minorHAnsi" w:cstheme="minorHAnsi"/>
        </w:rPr>
        <w:t xml:space="preserve">ixed demand sites, would be banded based on their maximum </w:t>
      </w:r>
      <w:r w:rsidR="00AD7125">
        <w:rPr>
          <w:rFonts w:asciiTheme="minorHAnsi" w:hAnsiTheme="minorHAnsi" w:cstheme="minorHAnsi"/>
        </w:rPr>
        <w:t xml:space="preserve">final </w:t>
      </w:r>
      <w:r w:rsidR="00957588" w:rsidRPr="00957588">
        <w:rPr>
          <w:rFonts w:asciiTheme="minorHAnsi" w:hAnsiTheme="minorHAnsi" w:cstheme="minorHAnsi"/>
        </w:rPr>
        <w:t xml:space="preserve">demand instead. This would be a departure from the TCR approach which could create an unfairness. </w:t>
      </w:r>
      <w:r w:rsidR="00A66849">
        <w:rPr>
          <w:rFonts w:asciiTheme="minorHAnsi" w:hAnsiTheme="minorHAnsi" w:cstheme="minorHAnsi"/>
        </w:rPr>
        <w:br/>
      </w:r>
    </w:p>
    <w:p w14:paraId="35EF0890" w14:textId="7082CAC4" w:rsidR="00957588" w:rsidRPr="00957588" w:rsidRDefault="00957588" w:rsidP="00957588">
      <w:pPr>
        <w:pStyle w:val="ListParagraph"/>
        <w:numPr>
          <w:ilvl w:val="0"/>
          <w:numId w:val="3"/>
        </w:numPr>
        <w:rPr>
          <w:rFonts w:asciiTheme="minorHAnsi" w:hAnsiTheme="minorHAnsi" w:cstheme="minorHAnsi"/>
        </w:rPr>
      </w:pPr>
      <w:r w:rsidRPr="00957588">
        <w:rPr>
          <w:rFonts w:asciiTheme="minorHAnsi" w:hAnsiTheme="minorHAnsi" w:cstheme="minorHAnsi"/>
        </w:rPr>
        <w:t>Th</w:t>
      </w:r>
      <w:r>
        <w:rPr>
          <w:rFonts w:asciiTheme="minorHAnsi" w:hAnsiTheme="minorHAnsi" w:cstheme="minorHAnsi"/>
        </w:rPr>
        <w:t>e</w:t>
      </w:r>
      <w:r w:rsidRPr="00957588">
        <w:rPr>
          <w:rFonts w:asciiTheme="minorHAnsi" w:hAnsiTheme="minorHAnsi" w:cstheme="minorHAnsi"/>
        </w:rPr>
        <w:t xml:space="preserve"> alternative approach</w:t>
      </w:r>
      <w:r w:rsidR="00E84AFA">
        <w:rPr>
          <w:rFonts w:asciiTheme="minorHAnsi" w:hAnsiTheme="minorHAnsi" w:cstheme="minorHAnsi"/>
        </w:rPr>
        <w:t xml:space="preserve">, as set out in </w:t>
      </w:r>
      <w:r w:rsidR="00E84AFA" w:rsidRPr="0010460D">
        <w:rPr>
          <w:rFonts w:asciiTheme="minorHAnsi" w:hAnsiTheme="minorHAnsi" w:cstheme="minorHAnsi"/>
          <w:b/>
          <w:bCs/>
        </w:rPr>
        <w:t>appendix A below</w:t>
      </w:r>
      <w:r w:rsidR="00AD7125">
        <w:rPr>
          <w:rFonts w:asciiTheme="minorHAnsi" w:hAnsiTheme="minorHAnsi" w:cstheme="minorHAnsi"/>
        </w:rPr>
        <w:t xml:space="preserve"> </w:t>
      </w:r>
      <w:r w:rsidR="00AD7125" w:rsidRPr="0010460D">
        <w:rPr>
          <w:rFonts w:asciiTheme="minorHAnsi" w:hAnsiTheme="minorHAnsi" w:cstheme="minorHAnsi"/>
          <w:b/>
          <w:bCs/>
        </w:rPr>
        <w:t>and in the attached spreadsheet</w:t>
      </w:r>
      <w:r w:rsidR="00E84AFA">
        <w:rPr>
          <w:rFonts w:asciiTheme="minorHAnsi" w:hAnsiTheme="minorHAnsi" w:cstheme="minorHAnsi"/>
        </w:rPr>
        <w:t xml:space="preserve">, </w:t>
      </w:r>
      <w:r w:rsidRPr="00957588">
        <w:rPr>
          <w:rFonts w:asciiTheme="minorHAnsi" w:hAnsiTheme="minorHAnsi" w:cstheme="minorHAnsi"/>
        </w:rPr>
        <w:t>would be used for sites where the total maximum demand capacity does not exceed the MIC.</w:t>
      </w:r>
      <w:r>
        <w:rPr>
          <w:rFonts w:asciiTheme="minorHAnsi" w:hAnsiTheme="minorHAnsi" w:cstheme="minorHAnsi"/>
        </w:rPr>
        <w:br/>
      </w:r>
    </w:p>
    <w:p w14:paraId="05605580" w14:textId="32CAE455" w:rsidR="00957588" w:rsidRPr="00957588" w:rsidRDefault="00957588" w:rsidP="00957588">
      <w:pPr>
        <w:pStyle w:val="ListParagraph"/>
        <w:numPr>
          <w:ilvl w:val="0"/>
          <w:numId w:val="1"/>
        </w:numPr>
        <w:spacing w:after="240"/>
        <w:rPr>
          <w:rFonts w:asciiTheme="minorHAnsi" w:eastAsia="Times New Roman" w:hAnsiTheme="minorHAnsi" w:cstheme="minorHAnsi"/>
        </w:rPr>
      </w:pPr>
      <w:r w:rsidRPr="00957588">
        <w:rPr>
          <w:rFonts w:asciiTheme="minorHAnsi" w:eastAsia="Times New Roman" w:hAnsiTheme="minorHAnsi" w:cstheme="minorHAnsi"/>
        </w:rPr>
        <w:t xml:space="preserve">The subgroup proposes that for </w:t>
      </w:r>
      <w:r w:rsidRPr="0010460D">
        <w:rPr>
          <w:rFonts w:asciiTheme="minorHAnsi" w:eastAsia="Times New Roman" w:hAnsiTheme="minorHAnsi" w:cstheme="minorHAnsi"/>
          <w:b/>
          <w:bCs/>
        </w:rPr>
        <w:t>sites which do exceed their MIC</w:t>
      </w:r>
      <w:r w:rsidRPr="00957588">
        <w:rPr>
          <w:rFonts w:asciiTheme="minorHAnsi" w:eastAsia="Times New Roman" w:hAnsiTheme="minorHAnsi" w:cstheme="minorHAnsi"/>
        </w:rPr>
        <w:t xml:space="preserve">, the DNOs would follow the process set out in the NTCs (the section titled “Exceeding Capacities”, para 12.3 onwards) whereby the DNO may notify the customer of the breach and propose that the customer takes remedial action, such as varying their MIC. A </w:t>
      </w:r>
      <w:r w:rsidR="00A66849">
        <w:rPr>
          <w:rFonts w:asciiTheme="minorHAnsi" w:eastAsia="Times New Roman" w:hAnsiTheme="minorHAnsi" w:cstheme="minorHAnsi"/>
        </w:rPr>
        <w:t>m</w:t>
      </w:r>
      <w:r w:rsidRPr="00957588">
        <w:rPr>
          <w:rFonts w:asciiTheme="minorHAnsi" w:eastAsia="Times New Roman" w:hAnsiTheme="minorHAnsi" w:cstheme="minorHAnsi"/>
        </w:rPr>
        <w:t xml:space="preserve">ixed </w:t>
      </w:r>
      <w:r w:rsidR="00A66849">
        <w:rPr>
          <w:rFonts w:asciiTheme="minorHAnsi" w:eastAsia="Times New Roman" w:hAnsiTheme="minorHAnsi" w:cstheme="minorHAnsi"/>
        </w:rPr>
        <w:t>d</w:t>
      </w:r>
      <w:r w:rsidRPr="00957588">
        <w:rPr>
          <w:rFonts w:asciiTheme="minorHAnsi" w:eastAsia="Times New Roman" w:hAnsiTheme="minorHAnsi" w:cstheme="minorHAnsi"/>
        </w:rPr>
        <w:t xml:space="preserve">emand </w:t>
      </w:r>
      <w:r w:rsidR="00A66849">
        <w:rPr>
          <w:rFonts w:asciiTheme="minorHAnsi" w:eastAsia="Times New Roman" w:hAnsiTheme="minorHAnsi" w:cstheme="minorHAnsi"/>
        </w:rPr>
        <w:t>s</w:t>
      </w:r>
      <w:r w:rsidRPr="00957588">
        <w:rPr>
          <w:rFonts w:asciiTheme="minorHAnsi" w:eastAsia="Times New Roman" w:hAnsiTheme="minorHAnsi" w:cstheme="minorHAnsi"/>
        </w:rPr>
        <w:t>ite application would only be processed following the remedial action.</w:t>
      </w:r>
    </w:p>
    <w:p w14:paraId="5BBCD495" w14:textId="59BA81A6" w:rsidR="00957588" w:rsidRPr="00957588" w:rsidRDefault="00957588" w:rsidP="00957588">
      <w:pPr>
        <w:pStyle w:val="ListParagraph"/>
        <w:numPr>
          <w:ilvl w:val="0"/>
          <w:numId w:val="1"/>
        </w:numPr>
        <w:spacing w:after="240"/>
        <w:rPr>
          <w:rFonts w:asciiTheme="minorHAnsi" w:eastAsia="Times New Roman" w:hAnsiTheme="minorHAnsi" w:cstheme="minorHAnsi"/>
        </w:rPr>
      </w:pPr>
      <w:r>
        <w:rPr>
          <w:rFonts w:asciiTheme="minorHAnsi" w:eastAsia="Times New Roman" w:hAnsiTheme="minorHAnsi" w:cstheme="minorHAnsi"/>
        </w:rPr>
        <w:t>The main Working Group agreed</w:t>
      </w:r>
      <w:r w:rsidRPr="00957588">
        <w:rPr>
          <w:rFonts w:asciiTheme="minorHAnsi" w:eastAsia="Times New Roman" w:hAnsiTheme="minorHAnsi" w:cstheme="minorHAnsi"/>
        </w:rPr>
        <w:t xml:space="preserve"> that </w:t>
      </w:r>
      <w:r w:rsidR="00AD7125" w:rsidRPr="0010460D">
        <w:rPr>
          <w:rFonts w:asciiTheme="minorHAnsi" w:eastAsia="Times New Roman" w:hAnsiTheme="minorHAnsi" w:cstheme="minorHAnsi"/>
          <w:b/>
          <w:bCs/>
        </w:rPr>
        <w:t>some</w:t>
      </w:r>
      <w:r w:rsidRPr="0010460D">
        <w:rPr>
          <w:rFonts w:asciiTheme="minorHAnsi" w:eastAsia="Times New Roman" w:hAnsiTheme="minorHAnsi" w:cstheme="minorHAnsi"/>
          <w:b/>
          <w:bCs/>
        </w:rPr>
        <w:t xml:space="preserve"> other </w:t>
      </w:r>
      <w:r w:rsidR="00A66849" w:rsidRPr="0010460D">
        <w:rPr>
          <w:rFonts w:asciiTheme="minorHAnsi" w:eastAsia="Times New Roman" w:hAnsiTheme="minorHAnsi" w:cstheme="minorHAnsi"/>
          <w:b/>
          <w:bCs/>
        </w:rPr>
        <w:t>modifications</w:t>
      </w:r>
      <w:r w:rsidRPr="00957588">
        <w:rPr>
          <w:rFonts w:asciiTheme="minorHAnsi" w:eastAsia="Times New Roman" w:hAnsiTheme="minorHAnsi" w:cstheme="minorHAnsi"/>
        </w:rPr>
        <w:t xml:space="preserve"> are required to the template, such as applying the </w:t>
      </w:r>
      <w:r w:rsidR="001F6E8D">
        <w:rPr>
          <w:rFonts w:asciiTheme="minorHAnsi" w:eastAsia="Times New Roman" w:hAnsiTheme="minorHAnsi" w:cstheme="minorHAnsi"/>
        </w:rPr>
        <w:t>same conversion from demand in kWh to capacity in kVA as in Schedule 16 paragraph 155 and 159. T</w:t>
      </w:r>
      <w:r w:rsidR="00A66849">
        <w:rPr>
          <w:rFonts w:asciiTheme="minorHAnsi" w:eastAsia="Times New Roman" w:hAnsiTheme="minorHAnsi" w:cstheme="minorHAnsi"/>
        </w:rPr>
        <w:t xml:space="preserve">hese have been incorporated </w:t>
      </w:r>
      <w:r w:rsidR="003A4C48">
        <w:rPr>
          <w:rFonts w:asciiTheme="minorHAnsi" w:eastAsia="Times New Roman" w:hAnsiTheme="minorHAnsi" w:cstheme="minorHAnsi"/>
        </w:rPr>
        <w:t xml:space="preserve">by the subgroup </w:t>
      </w:r>
      <w:r w:rsidR="00A66849">
        <w:rPr>
          <w:rFonts w:asciiTheme="minorHAnsi" w:eastAsia="Times New Roman" w:hAnsiTheme="minorHAnsi" w:cstheme="minorHAnsi"/>
        </w:rPr>
        <w:t xml:space="preserve">in the </w:t>
      </w:r>
      <w:r w:rsidR="003A4C48">
        <w:rPr>
          <w:rFonts w:asciiTheme="minorHAnsi" w:eastAsia="Times New Roman" w:hAnsiTheme="minorHAnsi" w:cstheme="minorHAnsi"/>
        </w:rPr>
        <w:t>attached spreadsheet. However, this</w:t>
      </w:r>
      <w:r w:rsidR="00A66849">
        <w:rPr>
          <w:rFonts w:asciiTheme="minorHAnsi" w:eastAsia="Times New Roman" w:hAnsiTheme="minorHAnsi" w:cstheme="minorHAnsi"/>
        </w:rPr>
        <w:t xml:space="preserve"> still requires</w:t>
      </w:r>
      <w:r w:rsidR="003A4C48">
        <w:rPr>
          <w:rFonts w:asciiTheme="minorHAnsi" w:eastAsia="Times New Roman" w:hAnsiTheme="minorHAnsi" w:cstheme="minorHAnsi"/>
        </w:rPr>
        <w:t xml:space="preserve"> full</w:t>
      </w:r>
      <w:r w:rsidR="00A66849">
        <w:rPr>
          <w:rFonts w:asciiTheme="minorHAnsi" w:eastAsia="Times New Roman" w:hAnsiTheme="minorHAnsi" w:cstheme="minorHAnsi"/>
        </w:rPr>
        <w:t xml:space="preserve"> testing.</w:t>
      </w:r>
      <w:r w:rsidR="003669E7" w:rsidDel="003669E7">
        <w:rPr>
          <w:rFonts w:asciiTheme="minorHAnsi" w:eastAsia="Times New Roman" w:hAnsiTheme="minorHAnsi" w:cstheme="minorHAnsi"/>
        </w:rPr>
        <w:t xml:space="preserve"> </w:t>
      </w:r>
    </w:p>
    <w:p w14:paraId="7D8E3662" w14:textId="62B6F665" w:rsidR="00B45AEB" w:rsidRDefault="000A37FA" w:rsidP="00B45AEB">
      <w:pPr>
        <w:pStyle w:val="ListParagraph"/>
        <w:numPr>
          <w:ilvl w:val="0"/>
          <w:numId w:val="4"/>
        </w:numPr>
        <w:ind w:left="720"/>
        <w:rPr>
          <w:rFonts w:asciiTheme="minorHAnsi" w:eastAsia="Times New Roman" w:hAnsiTheme="minorHAnsi" w:cstheme="minorHAnsi"/>
        </w:rPr>
      </w:pPr>
      <w:r w:rsidRPr="00F818B2">
        <w:rPr>
          <w:rFonts w:asciiTheme="minorHAnsi" w:eastAsia="Times New Roman" w:hAnsiTheme="minorHAnsi" w:cstheme="minorHAnsi"/>
        </w:rPr>
        <w:t>The main Working Group</w:t>
      </w:r>
      <w:r w:rsidR="00957588" w:rsidRPr="00F818B2">
        <w:rPr>
          <w:rFonts w:asciiTheme="minorHAnsi" w:eastAsia="Times New Roman" w:hAnsiTheme="minorHAnsi" w:cstheme="minorHAnsi"/>
        </w:rPr>
        <w:t xml:space="preserve"> agreed that </w:t>
      </w:r>
      <w:r w:rsidR="00957588" w:rsidRPr="0010460D">
        <w:rPr>
          <w:rFonts w:asciiTheme="minorHAnsi" w:eastAsia="Times New Roman" w:hAnsiTheme="minorHAnsi" w:cstheme="minorHAnsi"/>
          <w:b/>
          <w:bCs/>
        </w:rPr>
        <w:t>templates for non-MIC sites</w:t>
      </w:r>
      <w:r w:rsidR="00957588" w:rsidRPr="00F818B2">
        <w:rPr>
          <w:rFonts w:asciiTheme="minorHAnsi" w:eastAsia="Times New Roman" w:hAnsiTheme="minorHAnsi" w:cstheme="minorHAnsi"/>
        </w:rPr>
        <w:t xml:space="preserve"> would also need refinement</w:t>
      </w:r>
      <w:r w:rsidR="005E74A3">
        <w:rPr>
          <w:rFonts w:asciiTheme="minorHAnsi" w:eastAsia="Times New Roman" w:hAnsiTheme="minorHAnsi" w:cstheme="minorHAnsi"/>
        </w:rPr>
        <w:t xml:space="preserve">. However, </w:t>
      </w:r>
      <w:r w:rsidR="00A66849" w:rsidRPr="00F818B2">
        <w:rPr>
          <w:rFonts w:asciiTheme="minorHAnsi" w:eastAsia="Times New Roman" w:hAnsiTheme="minorHAnsi" w:cstheme="minorHAnsi"/>
        </w:rPr>
        <w:t>this may not be required</w:t>
      </w:r>
      <w:r w:rsidR="005E74A3">
        <w:rPr>
          <w:rFonts w:asciiTheme="minorHAnsi" w:eastAsia="Times New Roman" w:hAnsiTheme="minorHAnsi" w:cstheme="minorHAnsi"/>
        </w:rPr>
        <w:t>,</w:t>
      </w:r>
      <w:r w:rsidR="0087188F">
        <w:rPr>
          <w:rFonts w:asciiTheme="minorHAnsi" w:eastAsia="Times New Roman" w:hAnsiTheme="minorHAnsi" w:cstheme="minorHAnsi"/>
        </w:rPr>
        <w:t xml:space="preserve"> </w:t>
      </w:r>
      <w:r w:rsidR="00870ABC">
        <w:rPr>
          <w:rFonts w:asciiTheme="minorHAnsi" w:eastAsia="Times New Roman" w:hAnsiTheme="minorHAnsi" w:cstheme="minorHAnsi"/>
        </w:rPr>
        <w:t>due to a</w:t>
      </w:r>
      <w:r w:rsidR="00F818B2" w:rsidRPr="00F818B2">
        <w:rPr>
          <w:rFonts w:asciiTheme="minorHAnsi" w:eastAsia="Times New Roman" w:hAnsiTheme="minorHAnsi" w:cstheme="minorHAnsi"/>
        </w:rPr>
        <w:t xml:space="preserve"> </w:t>
      </w:r>
      <w:r w:rsidR="00A66849" w:rsidRPr="0010460D">
        <w:rPr>
          <w:rFonts w:asciiTheme="minorHAnsi" w:eastAsia="Times New Roman" w:hAnsiTheme="minorHAnsi" w:cstheme="minorHAnsi"/>
          <w:b/>
          <w:bCs/>
        </w:rPr>
        <w:t>potential</w:t>
      </w:r>
      <w:r w:rsidR="00957588" w:rsidRPr="0010460D">
        <w:rPr>
          <w:rFonts w:asciiTheme="minorHAnsi" w:eastAsia="Times New Roman" w:hAnsiTheme="minorHAnsi" w:cstheme="minorHAnsi"/>
          <w:b/>
          <w:bCs/>
        </w:rPr>
        <w:t xml:space="preserve"> BSC change</w:t>
      </w:r>
      <w:r w:rsidR="00A66849" w:rsidRPr="0010460D">
        <w:rPr>
          <w:rFonts w:asciiTheme="minorHAnsi" w:eastAsia="Times New Roman" w:hAnsiTheme="minorHAnsi" w:cstheme="minorHAnsi"/>
          <w:b/>
          <w:bCs/>
        </w:rPr>
        <w:t xml:space="preserve"> consequential to DCP388</w:t>
      </w:r>
      <w:r w:rsidR="00765FBC">
        <w:rPr>
          <w:rFonts w:asciiTheme="minorHAnsi" w:eastAsia="Times New Roman" w:hAnsiTheme="minorHAnsi" w:cstheme="minorHAnsi"/>
        </w:rPr>
        <w:t>. This</w:t>
      </w:r>
      <w:r w:rsidR="00F818B2" w:rsidRPr="00F818B2">
        <w:rPr>
          <w:rFonts w:asciiTheme="minorHAnsi" w:eastAsia="Times New Roman" w:hAnsiTheme="minorHAnsi" w:cstheme="minorHAnsi"/>
        </w:rPr>
        <w:t xml:space="preserve"> would build on BSC modification </w:t>
      </w:r>
      <w:hyperlink r:id="rId5" w:history="1">
        <w:r w:rsidR="00F818B2" w:rsidRPr="00F818B2">
          <w:rPr>
            <w:rStyle w:val="Hyperlink"/>
            <w:rFonts w:asciiTheme="minorHAnsi" w:eastAsia="Times New Roman" w:hAnsiTheme="minorHAnsi" w:cstheme="minorHAnsi"/>
          </w:rPr>
          <w:t>P395 ‘Aligning BSC Reporting with EMR Regulations – an enduring solution’</w:t>
        </w:r>
      </w:hyperlink>
      <w:r w:rsidR="0087188F">
        <w:rPr>
          <w:rFonts w:asciiTheme="minorHAnsi" w:eastAsia="Times New Roman" w:hAnsiTheme="minorHAnsi" w:cstheme="minorHAnsi"/>
        </w:rPr>
        <w:t>,</w:t>
      </w:r>
      <w:r w:rsidR="00957588" w:rsidRPr="00F818B2">
        <w:rPr>
          <w:rFonts w:asciiTheme="minorHAnsi" w:eastAsia="Times New Roman" w:hAnsiTheme="minorHAnsi" w:cstheme="minorHAnsi"/>
        </w:rPr>
        <w:t xml:space="preserve"> </w:t>
      </w:r>
      <w:r w:rsidR="00F818B2">
        <w:rPr>
          <w:rFonts w:asciiTheme="minorHAnsi" w:eastAsia="Times New Roman" w:hAnsiTheme="minorHAnsi" w:cstheme="minorHAnsi"/>
        </w:rPr>
        <w:t>due to be implemented in November 2023</w:t>
      </w:r>
      <w:r w:rsidR="009334D5">
        <w:rPr>
          <w:rFonts w:asciiTheme="minorHAnsi" w:eastAsia="Times New Roman" w:hAnsiTheme="minorHAnsi" w:cstheme="minorHAnsi"/>
        </w:rPr>
        <w:t>, but is limited to HH settled M</w:t>
      </w:r>
      <w:r w:rsidR="00123863">
        <w:rPr>
          <w:rFonts w:asciiTheme="minorHAnsi" w:eastAsia="Times New Roman" w:hAnsiTheme="minorHAnsi" w:cstheme="minorHAnsi"/>
        </w:rPr>
        <w:t>PAN</w:t>
      </w:r>
      <w:r w:rsidR="005E74A3">
        <w:rPr>
          <w:rFonts w:asciiTheme="minorHAnsi" w:eastAsia="Times New Roman" w:hAnsiTheme="minorHAnsi" w:cstheme="minorHAnsi"/>
        </w:rPr>
        <w:t xml:space="preserve">s </w:t>
      </w:r>
      <w:r w:rsidR="009334D5">
        <w:rPr>
          <w:rFonts w:asciiTheme="minorHAnsi" w:eastAsia="Times New Roman" w:hAnsiTheme="minorHAnsi" w:cstheme="minorHAnsi"/>
        </w:rPr>
        <w:t>only.</w:t>
      </w:r>
      <w:r w:rsidR="00F818B2">
        <w:rPr>
          <w:rFonts w:asciiTheme="minorHAnsi" w:eastAsia="Times New Roman" w:hAnsiTheme="minorHAnsi" w:cstheme="minorHAnsi"/>
        </w:rPr>
        <w:t xml:space="preserve"> </w:t>
      </w:r>
      <w:r w:rsidR="00B45AEB">
        <w:rPr>
          <w:rFonts w:asciiTheme="minorHAnsi" w:eastAsia="Times New Roman" w:hAnsiTheme="minorHAnsi" w:cstheme="minorHAnsi"/>
        </w:rPr>
        <w:br/>
      </w:r>
    </w:p>
    <w:p w14:paraId="6F9D3CC8" w14:textId="77777777" w:rsidR="00FC362E" w:rsidRDefault="009334D5" w:rsidP="00B45AEB">
      <w:pPr>
        <w:pStyle w:val="ListParagraph"/>
        <w:numPr>
          <w:ilvl w:val="0"/>
          <w:numId w:val="4"/>
        </w:numPr>
        <w:ind w:left="720"/>
        <w:rPr>
          <w:rFonts w:asciiTheme="minorHAnsi" w:eastAsia="Times New Roman" w:hAnsiTheme="minorHAnsi" w:cstheme="minorHAnsi"/>
        </w:rPr>
      </w:pPr>
      <w:r w:rsidRPr="00B45AEB">
        <w:rPr>
          <w:rFonts w:asciiTheme="minorHAnsi" w:eastAsia="Times New Roman" w:hAnsiTheme="minorHAnsi" w:cstheme="minorHAnsi"/>
        </w:rPr>
        <w:t>The P395 solution has many synergies</w:t>
      </w:r>
      <w:r w:rsidR="00F818B2" w:rsidRPr="00B45AEB">
        <w:rPr>
          <w:rFonts w:asciiTheme="minorHAnsi" w:eastAsia="Times New Roman" w:hAnsiTheme="minorHAnsi" w:cstheme="minorHAnsi"/>
        </w:rPr>
        <w:t xml:space="preserve"> </w:t>
      </w:r>
      <w:r w:rsidRPr="00B45AEB">
        <w:rPr>
          <w:rFonts w:asciiTheme="minorHAnsi" w:eastAsia="Times New Roman" w:hAnsiTheme="minorHAnsi" w:cstheme="minorHAnsi"/>
        </w:rPr>
        <w:t>with DCP 388</w:t>
      </w:r>
      <w:r w:rsidR="00B45AEB">
        <w:rPr>
          <w:rFonts w:asciiTheme="minorHAnsi" w:eastAsia="Times New Roman" w:hAnsiTheme="minorHAnsi" w:cstheme="minorHAnsi"/>
        </w:rPr>
        <w:t>,</w:t>
      </w:r>
      <w:r w:rsidRPr="00B45AEB">
        <w:rPr>
          <w:rFonts w:asciiTheme="minorHAnsi" w:eastAsia="Times New Roman" w:hAnsiTheme="minorHAnsi" w:cstheme="minorHAnsi"/>
        </w:rPr>
        <w:t xml:space="preserve"> as it will enable</w:t>
      </w:r>
      <w:r w:rsidR="00F818B2" w:rsidRPr="00B45AEB">
        <w:rPr>
          <w:rFonts w:asciiTheme="minorHAnsi" w:eastAsia="Times New Roman" w:hAnsiTheme="minorHAnsi" w:cstheme="minorHAnsi"/>
        </w:rPr>
        <w:t xml:space="preserve"> a capability for suppliers to appoint Asset Metering Agents (AM</w:t>
      </w:r>
      <w:r w:rsidRPr="00B45AEB">
        <w:rPr>
          <w:rFonts w:asciiTheme="minorHAnsi" w:eastAsia="Times New Roman" w:hAnsiTheme="minorHAnsi" w:cstheme="minorHAnsi"/>
        </w:rPr>
        <w:t xml:space="preserve"> </w:t>
      </w:r>
      <w:r w:rsidR="00F818B2" w:rsidRPr="00B45AEB">
        <w:rPr>
          <w:rFonts w:asciiTheme="minorHAnsi" w:eastAsia="Times New Roman" w:hAnsiTheme="minorHAnsi" w:cstheme="minorHAnsi"/>
        </w:rPr>
        <w:t>MOA &amp; AM</w:t>
      </w:r>
      <w:r w:rsidRPr="00B45AEB">
        <w:rPr>
          <w:rFonts w:asciiTheme="minorHAnsi" w:eastAsia="Times New Roman" w:hAnsiTheme="minorHAnsi" w:cstheme="minorHAnsi"/>
        </w:rPr>
        <w:t xml:space="preserve"> </w:t>
      </w:r>
      <w:r w:rsidR="00F818B2" w:rsidRPr="00B45AEB">
        <w:rPr>
          <w:rFonts w:asciiTheme="minorHAnsi" w:eastAsia="Times New Roman" w:hAnsiTheme="minorHAnsi" w:cstheme="minorHAnsi"/>
        </w:rPr>
        <w:t>HHDC)</w:t>
      </w:r>
      <w:r w:rsidRPr="00B45AEB">
        <w:rPr>
          <w:rFonts w:asciiTheme="minorHAnsi" w:eastAsia="Times New Roman" w:hAnsiTheme="minorHAnsi" w:cstheme="minorHAnsi"/>
        </w:rPr>
        <w:t xml:space="preserve"> to service </w:t>
      </w:r>
      <w:r w:rsidR="00B45AEB">
        <w:rPr>
          <w:rFonts w:asciiTheme="minorHAnsi" w:eastAsia="Times New Roman" w:hAnsiTheme="minorHAnsi" w:cstheme="minorHAnsi"/>
        </w:rPr>
        <w:t>and</w:t>
      </w:r>
      <w:r w:rsidRPr="00B45AEB">
        <w:rPr>
          <w:rFonts w:asciiTheme="minorHAnsi" w:eastAsia="Times New Roman" w:hAnsiTheme="minorHAnsi" w:cstheme="minorHAnsi"/>
        </w:rPr>
        <w:t xml:space="preserve"> maintain asset metering to settlement standards defined under Code of Practice (CoP) 1, </w:t>
      </w:r>
      <w:proofErr w:type="gramStart"/>
      <w:r w:rsidRPr="00B45AEB">
        <w:rPr>
          <w:rFonts w:asciiTheme="minorHAnsi" w:eastAsia="Times New Roman" w:hAnsiTheme="minorHAnsi" w:cstheme="minorHAnsi"/>
        </w:rPr>
        <w:t>and also</w:t>
      </w:r>
      <w:proofErr w:type="gramEnd"/>
      <w:r w:rsidRPr="00B45AEB">
        <w:rPr>
          <w:rFonts w:asciiTheme="minorHAnsi" w:eastAsia="Times New Roman" w:hAnsiTheme="minorHAnsi" w:cstheme="minorHAnsi"/>
        </w:rPr>
        <w:t xml:space="preserve"> provisions Data collection processes that are very similar to those applied to boundary settlement meters.</w:t>
      </w:r>
      <w:r w:rsidR="00F8047B" w:rsidRPr="00B45AEB">
        <w:rPr>
          <w:rFonts w:asciiTheme="minorHAnsi" w:eastAsia="Times New Roman" w:hAnsiTheme="minorHAnsi" w:cstheme="minorHAnsi"/>
        </w:rPr>
        <w:t xml:space="preserve"> </w:t>
      </w:r>
      <w:r w:rsidR="00FC362E">
        <w:rPr>
          <w:rFonts w:asciiTheme="minorHAnsi" w:eastAsia="Times New Roman" w:hAnsiTheme="minorHAnsi" w:cstheme="minorHAnsi"/>
        </w:rPr>
        <w:br/>
      </w:r>
    </w:p>
    <w:p w14:paraId="61D09743" w14:textId="29FE3054" w:rsidR="009C19BF" w:rsidRPr="00B45AEB" w:rsidRDefault="00F8047B" w:rsidP="00B45AEB">
      <w:pPr>
        <w:pStyle w:val="ListParagraph"/>
        <w:numPr>
          <w:ilvl w:val="0"/>
          <w:numId w:val="4"/>
        </w:numPr>
        <w:ind w:left="720"/>
        <w:rPr>
          <w:rFonts w:asciiTheme="minorHAnsi" w:eastAsia="Times New Roman" w:hAnsiTheme="minorHAnsi" w:cstheme="minorHAnsi"/>
        </w:rPr>
      </w:pPr>
      <w:r w:rsidRPr="00B45AEB">
        <w:rPr>
          <w:rFonts w:asciiTheme="minorHAnsi" w:eastAsia="Times New Roman" w:hAnsiTheme="minorHAnsi" w:cstheme="minorHAnsi"/>
        </w:rPr>
        <w:t>It w</w:t>
      </w:r>
      <w:r w:rsidR="009334D5" w:rsidRPr="00B45AEB">
        <w:rPr>
          <w:rFonts w:asciiTheme="minorHAnsi" w:eastAsia="Times New Roman" w:hAnsiTheme="minorHAnsi" w:cstheme="minorHAnsi"/>
        </w:rPr>
        <w:t xml:space="preserve">ould also see the Supplier </w:t>
      </w:r>
      <w:r w:rsidR="00B45AEB">
        <w:rPr>
          <w:rFonts w:asciiTheme="minorHAnsi" w:eastAsia="Times New Roman" w:hAnsiTheme="minorHAnsi" w:cstheme="minorHAnsi"/>
        </w:rPr>
        <w:t>V</w:t>
      </w:r>
      <w:r w:rsidR="009334D5" w:rsidRPr="00B45AEB">
        <w:rPr>
          <w:rFonts w:asciiTheme="minorHAnsi" w:eastAsia="Times New Roman" w:hAnsiTheme="minorHAnsi" w:cstheme="minorHAnsi"/>
        </w:rPr>
        <w:t>olume Allocation Agent (SVAA)</w:t>
      </w:r>
      <w:r w:rsidR="00F818B2" w:rsidRPr="00B45AEB">
        <w:rPr>
          <w:rFonts w:asciiTheme="minorHAnsi" w:eastAsia="Times New Roman" w:hAnsiTheme="minorHAnsi" w:cstheme="minorHAnsi"/>
        </w:rPr>
        <w:t xml:space="preserve"> </w:t>
      </w:r>
      <w:r w:rsidRPr="00B45AEB">
        <w:rPr>
          <w:rFonts w:asciiTheme="minorHAnsi" w:eastAsia="Times New Roman" w:hAnsiTheme="minorHAnsi" w:cstheme="minorHAnsi"/>
        </w:rPr>
        <w:t xml:space="preserve">obtain </w:t>
      </w:r>
      <w:r w:rsidR="00F818B2" w:rsidRPr="00B45AEB">
        <w:rPr>
          <w:rFonts w:asciiTheme="minorHAnsi" w:eastAsia="Times New Roman" w:hAnsiTheme="minorHAnsi" w:cstheme="minorHAnsi"/>
        </w:rPr>
        <w:t xml:space="preserve">HH metered data at </w:t>
      </w:r>
      <w:r w:rsidR="009334D5" w:rsidRPr="00B45AEB">
        <w:rPr>
          <w:rFonts w:asciiTheme="minorHAnsi" w:eastAsia="Times New Roman" w:hAnsiTheme="minorHAnsi" w:cstheme="minorHAnsi"/>
        </w:rPr>
        <w:t>a</w:t>
      </w:r>
      <w:r w:rsidR="00F818B2" w:rsidRPr="00B45AEB">
        <w:rPr>
          <w:rFonts w:asciiTheme="minorHAnsi" w:eastAsia="Times New Roman" w:hAnsiTheme="minorHAnsi" w:cstheme="minorHAnsi"/>
        </w:rPr>
        <w:t xml:space="preserve"> </w:t>
      </w:r>
      <w:r w:rsidR="009334D5" w:rsidRPr="00B45AEB">
        <w:rPr>
          <w:rFonts w:asciiTheme="minorHAnsi" w:eastAsia="Times New Roman" w:hAnsiTheme="minorHAnsi" w:cstheme="minorHAnsi"/>
        </w:rPr>
        <w:t>distribution</w:t>
      </w:r>
      <w:r w:rsidR="00F818B2" w:rsidRPr="00B45AEB">
        <w:rPr>
          <w:rFonts w:asciiTheme="minorHAnsi" w:eastAsia="Times New Roman" w:hAnsiTheme="minorHAnsi" w:cstheme="minorHAnsi"/>
        </w:rPr>
        <w:t xml:space="preserve"> connection boundary</w:t>
      </w:r>
      <w:r w:rsidR="009334D5" w:rsidRPr="00B45AEB">
        <w:rPr>
          <w:rFonts w:asciiTheme="minorHAnsi" w:eastAsia="Times New Roman" w:hAnsiTheme="minorHAnsi" w:cstheme="minorHAnsi"/>
        </w:rPr>
        <w:t xml:space="preserve"> M</w:t>
      </w:r>
      <w:r w:rsidR="00B45AEB">
        <w:rPr>
          <w:rFonts w:asciiTheme="minorHAnsi" w:eastAsia="Times New Roman" w:hAnsiTheme="minorHAnsi" w:cstheme="minorHAnsi"/>
        </w:rPr>
        <w:t>PAN</w:t>
      </w:r>
      <w:r w:rsidR="00F818B2" w:rsidRPr="00B45AEB">
        <w:rPr>
          <w:rFonts w:asciiTheme="minorHAnsi" w:eastAsia="Times New Roman" w:hAnsiTheme="minorHAnsi" w:cstheme="minorHAnsi"/>
        </w:rPr>
        <w:t xml:space="preserve"> to </w:t>
      </w:r>
      <w:r w:rsidR="009334D5" w:rsidRPr="00B45AEB">
        <w:rPr>
          <w:rFonts w:asciiTheme="minorHAnsi" w:eastAsia="Times New Roman" w:hAnsiTheme="minorHAnsi" w:cstheme="minorHAnsi"/>
        </w:rPr>
        <w:t>calculate</w:t>
      </w:r>
      <w:r w:rsidR="00F818B2" w:rsidRPr="00B45AEB">
        <w:rPr>
          <w:rFonts w:asciiTheme="minorHAnsi" w:eastAsia="Times New Roman" w:hAnsiTheme="minorHAnsi" w:cstheme="minorHAnsi"/>
        </w:rPr>
        <w:t xml:space="preserve"> </w:t>
      </w:r>
      <w:r w:rsidR="009334D5" w:rsidRPr="00B45AEB">
        <w:rPr>
          <w:rFonts w:asciiTheme="minorHAnsi" w:eastAsia="Times New Roman" w:hAnsiTheme="minorHAnsi" w:cstheme="minorHAnsi"/>
        </w:rPr>
        <w:t xml:space="preserve">the non-final demand element for EMRS charging </w:t>
      </w:r>
      <w:r w:rsidRPr="00B45AEB">
        <w:rPr>
          <w:rFonts w:asciiTheme="minorHAnsi" w:eastAsia="Times New Roman" w:hAnsiTheme="minorHAnsi" w:cstheme="minorHAnsi"/>
        </w:rPr>
        <w:t xml:space="preserve">purposes, which should address DNO </w:t>
      </w:r>
      <w:r w:rsidR="00C66EA0" w:rsidRPr="00B45AEB">
        <w:rPr>
          <w:rFonts w:asciiTheme="minorHAnsi" w:eastAsia="Times New Roman" w:hAnsiTheme="minorHAnsi" w:cstheme="minorHAnsi"/>
        </w:rPr>
        <w:t>concerns</w:t>
      </w:r>
      <w:r w:rsidRPr="00B45AEB">
        <w:rPr>
          <w:rFonts w:asciiTheme="minorHAnsi" w:eastAsia="Times New Roman" w:hAnsiTheme="minorHAnsi" w:cstheme="minorHAnsi"/>
        </w:rPr>
        <w:t xml:space="preserve"> </w:t>
      </w:r>
      <w:r w:rsidR="00C66EA0" w:rsidRPr="00B45AEB">
        <w:rPr>
          <w:rFonts w:asciiTheme="minorHAnsi" w:eastAsia="Times New Roman" w:hAnsiTheme="minorHAnsi" w:cstheme="minorHAnsi"/>
        </w:rPr>
        <w:t>by</w:t>
      </w:r>
      <w:r w:rsidRPr="00B45AEB">
        <w:rPr>
          <w:rFonts w:asciiTheme="minorHAnsi" w:eastAsia="Times New Roman" w:hAnsiTheme="minorHAnsi" w:cstheme="minorHAnsi"/>
        </w:rPr>
        <w:t xml:space="preserve"> assuring the </w:t>
      </w:r>
      <w:r w:rsidR="00C66EA0" w:rsidRPr="00B45AEB">
        <w:rPr>
          <w:rFonts w:asciiTheme="minorHAnsi" w:eastAsia="Times New Roman" w:hAnsiTheme="minorHAnsi" w:cstheme="minorHAnsi"/>
        </w:rPr>
        <w:t xml:space="preserve">metered </w:t>
      </w:r>
      <w:r w:rsidRPr="00B45AEB">
        <w:rPr>
          <w:rFonts w:asciiTheme="minorHAnsi" w:eastAsia="Times New Roman" w:hAnsiTheme="minorHAnsi" w:cstheme="minorHAnsi"/>
        </w:rPr>
        <w:t xml:space="preserve">data </w:t>
      </w:r>
      <w:r w:rsidR="00C66EA0" w:rsidRPr="00B45AEB">
        <w:rPr>
          <w:rFonts w:asciiTheme="minorHAnsi" w:eastAsia="Times New Roman" w:hAnsiTheme="minorHAnsi" w:cstheme="minorHAnsi"/>
        </w:rPr>
        <w:t>through BSC governance.</w:t>
      </w:r>
      <w:r w:rsidRPr="00B45AEB">
        <w:rPr>
          <w:rFonts w:asciiTheme="minorHAnsi" w:eastAsia="Times New Roman" w:hAnsiTheme="minorHAnsi" w:cstheme="minorHAnsi"/>
        </w:rPr>
        <w:t xml:space="preserve"> </w:t>
      </w:r>
      <w:proofErr w:type="gramStart"/>
      <w:r w:rsidR="00154483">
        <w:rPr>
          <w:rFonts w:asciiTheme="minorHAnsi" w:eastAsia="Times New Roman" w:hAnsiTheme="minorHAnsi" w:cstheme="minorHAnsi"/>
        </w:rPr>
        <w:t>S</w:t>
      </w:r>
      <w:r w:rsidRPr="00B45AEB">
        <w:rPr>
          <w:rFonts w:asciiTheme="minorHAnsi" w:eastAsia="Times New Roman" w:hAnsiTheme="minorHAnsi" w:cstheme="minorHAnsi"/>
        </w:rPr>
        <w:t>o</w:t>
      </w:r>
      <w:proofErr w:type="gramEnd"/>
      <w:r w:rsidRPr="00B45AEB">
        <w:rPr>
          <w:rFonts w:asciiTheme="minorHAnsi" w:eastAsia="Times New Roman" w:hAnsiTheme="minorHAnsi" w:cstheme="minorHAnsi"/>
        </w:rPr>
        <w:t xml:space="preserve"> the primary aim of </w:t>
      </w:r>
      <w:r w:rsidR="00C66EA0" w:rsidRPr="00B45AEB">
        <w:rPr>
          <w:rFonts w:asciiTheme="minorHAnsi" w:eastAsia="Times New Roman" w:hAnsiTheme="minorHAnsi" w:cstheme="minorHAnsi"/>
        </w:rPr>
        <w:t>related</w:t>
      </w:r>
      <w:r w:rsidRPr="00B45AEB">
        <w:rPr>
          <w:rFonts w:asciiTheme="minorHAnsi" w:eastAsia="Times New Roman" w:hAnsiTheme="minorHAnsi" w:cstheme="minorHAnsi"/>
        </w:rPr>
        <w:t xml:space="preserve"> BSC change would be to extend these provisions</w:t>
      </w:r>
      <w:r w:rsidR="00FC362E">
        <w:rPr>
          <w:rFonts w:asciiTheme="minorHAnsi" w:eastAsia="Times New Roman" w:hAnsiTheme="minorHAnsi" w:cstheme="minorHAnsi"/>
        </w:rPr>
        <w:t>,</w:t>
      </w:r>
      <w:r w:rsidRPr="00B45AEB">
        <w:rPr>
          <w:rFonts w:asciiTheme="minorHAnsi" w:eastAsia="Times New Roman" w:hAnsiTheme="minorHAnsi" w:cstheme="minorHAnsi"/>
        </w:rPr>
        <w:t xml:space="preserve"> so that the data and </w:t>
      </w:r>
      <w:r w:rsidR="00C66EA0" w:rsidRPr="00B45AEB">
        <w:rPr>
          <w:rFonts w:asciiTheme="minorHAnsi" w:eastAsia="Times New Roman" w:hAnsiTheme="minorHAnsi" w:cstheme="minorHAnsi"/>
        </w:rPr>
        <w:t>calculations</w:t>
      </w:r>
      <w:r w:rsidRPr="00B45AEB">
        <w:rPr>
          <w:rFonts w:asciiTheme="minorHAnsi" w:eastAsia="Times New Roman" w:hAnsiTheme="minorHAnsi" w:cstheme="minorHAnsi"/>
        </w:rPr>
        <w:t xml:space="preserve"> </w:t>
      </w:r>
      <w:r w:rsidR="00C66EA0" w:rsidRPr="00B45AEB">
        <w:rPr>
          <w:rFonts w:asciiTheme="minorHAnsi" w:eastAsia="Times New Roman" w:hAnsiTheme="minorHAnsi" w:cstheme="minorHAnsi"/>
        </w:rPr>
        <w:t xml:space="preserve">are provided to </w:t>
      </w:r>
      <w:r w:rsidRPr="00B45AEB">
        <w:rPr>
          <w:rFonts w:asciiTheme="minorHAnsi" w:eastAsia="Times New Roman" w:hAnsiTheme="minorHAnsi" w:cstheme="minorHAnsi"/>
        </w:rPr>
        <w:t xml:space="preserve">the DNO </w:t>
      </w:r>
      <w:r w:rsidR="00C66EA0" w:rsidRPr="00B45AEB">
        <w:rPr>
          <w:rFonts w:asciiTheme="minorHAnsi" w:eastAsia="Times New Roman" w:hAnsiTheme="minorHAnsi" w:cstheme="minorHAnsi"/>
        </w:rPr>
        <w:t>to enable a mixed demand site’s non-final demand element to</w:t>
      </w:r>
      <w:r w:rsidR="00FC362E">
        <w:rPr>
          <w:rFonts w:asciiTheme="minorHAnsi" w:eastAsia="Times New Roman" w:hAnsiTheme="minorHAnsi" w:cstheme="minorHAnsi"/>
        </w:rPr>
        <w:t xml:space="preserve"> BE</w:t>
      </w:r>
      <w:r w:rsidR="00C66EA0" w:rsidRPr="00B45AEB">
        <w:rPr>
          <w:rFonts w:asciiTheme="minorHAnsi" w:eastAsia="Times New Roman" w:hAnsiTheme="minorHAnsi" w:cstheme="minorHAnsi"/>
        </w:rPr>
        <w:t xml:space="preserve"> accounted for in the residual band allocation.</w:t>
      </w:r>
      <w:r w:rsidR="009C19BF" w:rsidRPr="00B45AEB">
        <w:rPr>
          <w:b/>
          <w:bCs/>
        </w:rPr>
        <w:br w:type="page"/>
      </w:r>
    </w:p>
    <w:p w14:paraId="2F0554D7" w14:textId="6084CD9B" w:rsidR="00E84AFA" w:rsidRPr="00E84AFA" w:rsidRDefault="00E84AFA">
      <w:pPr>
        <w:rPr>
          <w:rFonts w:asciiTheme="minorHAnsi" w:hAnsiTheme="minorHAnsi" w:cstheme="minorHAnsi"/>
          <w:b/>
          <w:bCs/>
        </w:rPr>
      </w:pPr>
      <w:r w:rsidRPr="00E84AFA">
        <w:rPr>
          <w:rFonts w:asciiTheme="minorHAnsi" w:hAnsiTheme="minorHAnsi" w:cstheme="minorHAnsi"/>
          <w:b/>
          <w:bCs/>
        </w:rPr>
        <w:lastRenderedPageBreak/>
        <w:t>Appendix A</w:t>
      </w:r>
    </w:p>
    <w:p w14:paraId="645BB59A" w14:textId="77777777" w:rsidR="000D23CB" w:rsidRDefault="00E319BF">
      <w:pPr>
        <w:rPr>
          <w:rFonts w:asciiTheme="minorHAnsi" w:hAnsiTheme="minorHAnsi" w:cstheme="minorHAnsi"/>
        </w:rPr>
      </w:pPr>
      <w:r>
        <w:rPr>
          <w:rFonts w:asciiTheme="minorHAnsi" w:hAnsiTheme="minorHAnsi" w:cstheme="minorHAnsi"/>
        </w:rPr>
        <w:t xml:space="preserve">To preserve the MIC-based approach for </w:t>
      </w:r>
      <w:r w:rsidR="000D23CB">
        <w:rPr>
          <w:rFonts w:asciiTheme="minorHAnsi" w:hAnsiTheme="minorHAnsi" w:cstheme="minorHAnsi"/>
        </w:rPr>
        <w:t>m</w:t>
      </w:r>
      <w:r>
        <w:rPr>
          <w:rFonts w:asciiTheme="minorHAnsi" w:hAnsiTheme="minorHAnsi" w:cstheme="minorHAnsi"/>
        </w:rPr>
        <w:t xml:space="preserve">ixed </w:t>
      </w:r>
      <w:r w:rsidR="000D23CB">
        <w:rPr>
          <w:rFonts w:asciiTheme="minorHAnsi" w:hAnsiTheme="minorHAnsi" w:cstheme="minorHAnsi"/>
        </w:rPr>
        <w:t>d</w:t>
      </w:r>
      <w:r>
        <w:rPr>
          <w:rFonts w:asciiTheme="minorHAnsi" w:hAnsiTheme="minorHAnsi" w:cstheme="minorHAnsi"/>
        </w:rPr>
        <w:t>emand sites, it is proposed to calculate the share that the maximum Final Demand capacity represents in terms of the site’s</w:t>
      </w:r>
      <w:r w:rsidRPr="00E319BF">
        <w:rPr>
          <w:rFonts w:asciiTheme="minorHAnsi" w:hAnsiTheme="minorHAnsi" w:cstheme="minorHAnsi"/>
        </w:rPr>
        <w:t xml:space="preserve"> </w:t>
      </w:r>
      <w:r>
        <w:rPr>
          <w:rFonts w:asciiTheme="minorHAnsi" w:hAnsiTheme="minorHAnsi" w:cstheme="minorHAnsi"/>
        </w:rPr>
        <w:t>total maximum demand capacity</w:t>
      </w:r>
      <w:r w:rsidR="000D23CB">
        <w:rPr>
          <w:rFonts w:asciiTheme="minorHAnsi" w:hAnsiTheme="minorHAnsi" w:cstheme="minorHAnsi"/>
        </w:rPr>
        <w:t xml:space="preserve"> (</w:t>
      </w:r>
      <w:proofErr w:type="gramStart"/>
      <w:r>
        <w:rPr>
          <w:rFonts w:asciiTheme="minorHAnsi" w:hAnsiTheme="minorHAnsi" w:cstheme="minorHAnsi"/>
        </w:rPr>
        <w:t>i.e.</w:t>
      </w:r>
      <w:proofErr w:type="gramEnd"/>
      <w:r>
        <w:rPr>
          <w:rFonts w:asciiTheme="minorHAnsi" w:hAnsiTheme="minorHAnsi" w:cstheme="minorHAnsi"/>
        </w:rPr>
        <w:t xml:space="preserve"> the maximum Final Demand capacity plus the maximum Non-Final Demand capacity</w:t>
      </w:r>
      <w:r w:rsidR="000D23CB">
        <w:rPr>
          <w:rFonts w:asciiTheme="minorHAnsi" w:hAnsiTheme="minorHAnsi" w:cstheme="minorHAnsi"/>
        </w:rPr>
        <w:t>)</w:t>
      </w:r>
      <w:r>
        <w:rPr>
          <w:rFonts w:asciiTheme="minorHAnsi" w:hAnsiTheme="minorHAnsi" w:cstheme="minorHAnsi"/>
        </w:rPr>
        <w:t xml:space="preserve">. </w:t>
      </w:r>
    </w:p>
    <w:p w14:paraId="7BB5FF11" w14:textId="072F83B1" w:rsidR="000D23CB" w:rsidRDefault="00E319BF" w:rsidP="000D23CB">
      <w:pPr>
        <w:rPr>
          <w:rFonts w:asciiTheme="minorHAnsi" w:hAnsiTheme="minorHAnsi" w:cstheme="minorHAnsi"/>
        </w:rPr>
      </w:pPr>
      <w:r>
        <w:rPr>
          <w:rFonts w:asciiTheme="minorHAnsi" w:hAnsiTheme="minorHAnsi" w:cstheme="minorHAnsi"/>
        </w:rPr>
        <w:t>That percentage figure is then multiplied by the site’s MIC, ensuring that the site is still banded on a MIC basis rather than a maximum demand capacity basis.</w:t>
      </w:r>
    </w:p>
    <w:p w14:paraId="714D934A" w14:textId="0184F3FC" w:rsidR="00E319BF" w:rsidRDefault="000D23CB">
      <w:pPr>
        <w:rPr>
          <w:rFonts w:asciiTheme="minorHAnsi" w:hAnsiTheme="minorHAnsi" w:cstheme="minorHAnsi"/>
        </w:rPr>
      </w:pPr>
      <w:r w:rsidRPr="000D23CB">
        <w:rPr>
          <w:rFonts w:asciiTheme="minorHAnsi" w:hAnsiTheme="minorHAnsi" w:cstheme="minorHAnsi"/>
        </w:rPr>
        <w:t xml:space="preserve">Example 1 shows a scenario where maximum demand is lower than the MIC, whereas example 2 shows a scenario where the site has exceeded its MIC. </w:t>
      </w:r>
      <w:r w:rsidRPr="000D23CB">
        <w:rPr>
          <w:rFonts w:asciiTheme="minorHAnsi" w:eastAsia="Times New Roman" w:hAnsiTheme="minorHAnsi" w:cstheme="minorHAnsi"/>
        </w:rPr>
        <w:t>The subgroup proposes that for sites which exceed their MIC, the DNOs would follow the process set out in the NTCs (the section titled “Exceeding Capacities”, para 12.3 onwards) whereby the DNO may notify the customer of the breach and propose that the customer takes remedial action, such as varying their MIC. A mixed demand site application would only be processed following the remedial action.</w:t>
      </w:r>
    </w:p>
    <w:tbl>
      <w:tblPr>
        <w:tblStyle w:val="TableGrid"/>
        <w:tblW w:w="0" w:type="auto"/>
        <w:tblLook w:val="04A0" w:firstRow="1" w:lastRow="0" w:firstColumn="1" w:lastColumn="0" w:noHBand="0" w:noVBand="1"/>
      </w:tblPr>
      <w:tblGrid>
        <w:gridCol w:w="5140"/>
        <w:gridCol w:w="1640"/>
        <w:gridCol w:w="280"/>
        <w:gridCol w:w="2207"/>
      </w:tblGrid>
      <w:tr w:rsidR="00E84AFA" w:rsidRPr="00E84AFA" w14:paraId="791CD4C7" w14:textId="77777777" w:rsidTr="00E84AFA">
        <w:trPr>
          <w:trHeight w:val="285"/>
        </w:trPr>
        <w:tc>
          <w:tcPr>
            <w:tcW w:w="5140" w:type="dxa"/>
            <w:noWrap/>
            <w:hideMark/>
          </w:tcPr>
          <w:p w14:paraId="5D5B4E70" w14:textId="77777777" w:rsidR="00E84AFA" w:rsidRPr="00E84AFA" w:rsidRDefault="00E84AFA" w:rsidP="00E84AFA">
            <w:pPr>
              <w:rPr>
                <w:rFonts w:asciiTheme="minorHAnsi" w:hAnsiTheme="minorHAnsi" w:cstheme="minorHAnsi"/>
              </w:rPr>
            </w:pPr>
          </w:p>
        </w:tc>
        <w:tc>
          <w:tcPr>
            <w:tcW w:w="1640" w:type="dxa"/>
            <w:noWrap/>
            <w:hideMark/>
          </w:tcPr>
          <w:p w14:paraId="12DD0CAF" w14:textId="7777777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example 1</w:t>
            </w:r>
          </w:p>
        </w:tc>
        <w:tc>
          <w:tcPr>
            <w:tcW w:w="280" w:type="dxa"/>
            <w:noWrap/>
            <w:hideMark/>
          </w:tcPr>
          <w:p w14:paraId="453C61ED" w14:textId="77777777" w:rsidR="00E84AFA" w:rsidRPr="00E84AFA" w:rsidRDefault="00E84AFA" w:rsidP="009C19BF">
            <w:pPr>
              <w:jc w:val="center"/>
              <w:rPr>
                <w:rFonts w:asciiTheme="minorHAnsi" w:hAnsiTheme="minorHAnsi" w:cstheme="minorHAnsi"/>
              </w:rPr>
            </w:pPr>
          </w:p>
        </w:tc>
        <w:tc>
          <w:tcPr>
            <w:tcW w:w="2207" w:type="dxa"/>
            <w:noWrap/>
            <w:hideMark/>
          </w:tcPr>
          <w:p w14:paraId="38859E76" w14:textId="7777777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example 2</w:t>
            </w:r>
          </w:p>
        </w:tc>
      </w:tr>
      <w:tr w:rsidR="00E84AFA" w:rsidRPr="00E84AFA" w14:paraId="164170F2" w14:textId="77777777" w:rsidTr="00E84AFA">
        <w:trPr>
          <w:trHeight w:val="285"/>
        </w:trPr>
        <w:tc>
          <w:tcPr>
            <w:tcW w:w="5140" w:type="dxa"/>
            <w:noWrap/>
            <w:hideMark/>
          </w:tcPr>
          <w:p w14:paraId="621BD42C" w14:textId="65477C64" w:rsidR="00E84AFA" w:rsidRPr="00E84AFA" w:rsidRDefault="00073622" w:rsidP="00E84AFA">
            <w:pPr>
              <w:rPr>
                <w:rFonts w:asciiTheme="minorHAnsi" w:hAnsiTheme="minorHAnsi" w:cstheme="minorHAnsi"/>
              </w:rPr>
            </w:pPr>
            <w:r>
              <w:rPr>
                <w:rFonts w:asciiTheme="minorHAnsi" w:hAnsiTheme="minorHAnsi" w:cstheme="minorHAnsi"/>
              </w:rPr>
              <w:t>It is assumed that the capacity values in the examples below have been adjusted by the relevant power factor.</w:t>
            </w:r>
          </w:p>
        </w:tc>
        <w:tc>
          <w:tcPr>
            <w:tcW w:w="1640" w:type="dxa"/>
            <w:noWrap/>
            <w:hideMark/>
          </w:tcPr>
          <w:p w14:paraId="60A77BD1" w14:textId="7777777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max D &lt; MIC</w:t>
            </w:r>
          </w:p>
        </w:tc>
        <w:tc>
          <w:tcPr>
            <w:tcW w:w="280" w:type="dxa"/>
            <w:noWrap/>
            <w:hideMark/>
          </w:tcPr>
          <w:p w14:paraId="1445E6FB" w14:textId="77777777" w:rsidR="00E84AFA" w:rsidRPr="00E84AFA" w:rsidRDefault="00E84AFA" w:rsidP="009C19BF">
            <w:pPr>
              <w:jc w:val="center"/>
              <w:rPr>
                <w:rFonts w:asciiTheme="minorHAnsi" w:hAnsiTheme="minorHAnsi" w:cstheme="minorHAnsi"/>
              </w:rPr>
            </w:pPr>
          </w:p>
        </w:tc>
        <w:tc>
          <w:tcPr>
            <w:tcW w:w="2207" w:type="dxa"/>
            <w:noWrap/>
            <w:hideMark/>
          </w:tcPr>
          <w:p w14:paraId="58BAEDCB" w14:textId="7777777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max D &gt; MIC</w:t>
            </w:r>
          </w:p>
        </w:tc>
      </w:tr>
      <w:tr w:rsidR="00E84AFA" w:rsidRPr="00E84AFA" w14:paraId="2328B5F4" w14:textId="77777777" w:rsidTr="00E84AFA">
        <w:trPr>
          <w:trHeight w:val="285"/>
        </w:trPr>
        <w:tc>
          <w:tcPr>
            <w:tcW w:w="5140" w:type="dxa"/>
            <w:noWrap/>
            <w:hideMark/>
          </w:tcPr>
          <w:p w14:paraId="6796B27A" w14:textId="77777777" w:rsidR="00E84AFA" w:rsidRPr="00E84AFA" w:rsidRDefault="00E84AFA" w:rsidP="00E84AFA">
            <w:pPr>
              <w:rPr>
                <w:rFonts w:asciiTheme="minorHAnsi" w:hAnsiTheme="minorHAnsi" w:cstheme="minorHAnsi"/>
              </w:rPr>
            </w:pPr>
          </w:p>
        </w:tc>
        <w:tc>
          <w:tcPr>
            <w:tcW w:w="1640" w:type="dxa"/>
            <w:noWrap/>
            <w:hideMark/>
          </w:tcPr>
          <w:p w14:paraId="1B49E5DD" w14:textId="1A47CB05" w:rsidR="00E84AFA" w:rsidRPr="00E84AFA" w:rsidRDefault="00E84AFA" w:rsidP="009C19BF">
            <w:pPr>
              <w:jc w:val="center"/>
              <w:rPr>
                <w:rFonts w:asciiTheme="minorHAnsi" w:hAnsiTheme="minorHAnsi" w:cstheme="minorHAnsi"/>
              </w:rPr>
            </w:pPr>
          </w:p>
        </w:tc>
        <w:tc>
          <w:tcPr>
            <w:tcW w:w="280" w:type="dxa"/>
            <w:noWrap/>
            <w:hideMark/>
          </w:tcPr>
          <w:p w14:paraId="7D040634" w14:textId="77777777" w:rsidR="00E84AFA" w:rsidRPr="00E84AFA" w:rsidRDefault="00E84AFA" w:rsidP="009C19BF">
            <w:pPr>
              <w:jc w:val="center"/>
              <w:rPr>
                <w:rFonts w:asciiTheme="minorHAnsi" w:hAnsiTheme="minorHAnsi" w:cstheme="minorHAnsi"/>
              </w:rPr>
            </w:pPr>
          </w:p>
        </w:tc>
        <w:tc>
          <w:tcPr>
            <w:tcW w:w="2207" w:type="dxa"/>
            <w:noWrap/>
            <w:hideMark/>
          </w:tcPr>
          <w:p w14:paraId="1E6EFE91" w14:textId="77777777" w:rsidR="00E84AFA" w:rsidRPr="00E84AFA" w:rsidRDefault="00E84AFA" w:rsidP="009C19BF">
            <w:pPr>
              <w:jc w:val="center"/>
              <w:rPr>
                <w:rFonts w:asciiTheme="minorHAnsi" w:hAnsiTheme="minorHAnsi" w:cstheme="minorHAnsi"/>
                <w:i/>
                <w:iCs/>
              </w:rPr>
            </w:pPr>
            <w:r w:rsidRPr="00E84AFA">
              <w:rPr>
                <w:rFonts w:asciiTheme="minorHAnsi" w:hAnsiTheme="minorHAnsi" w:cstheme="minorHAnsi"/>
                <w:i/>
                <w:iCs/>
              </w:rPr>
              <w:t>i.e. capacity exceeded</w:t>
            </w:r>
          </w:p>
        </w:tc>
      </w:tr>
      <w:tr w:rsidR="00E84AFA" w:rsidRPr="00E84AFA" w14:paraId="5FB61C4B" w14:textId="77777777" w:rsidTr="00E84AFA">
        <w:trPr>
          <w:trHeight w:val="285"/>
        </w:trPr>
        <w:tc>
          <w:tcPr>
            <w:tcW w:w="5140" w:type="dxa"/>
            <w:noWrap/>
            <w:hideMark/>
          </w:tcPr>
          <w:p w14:paraId="6BD90ABC" w14:textId="77777777" w:rsidR="00E84AFA" w:rsidRPr="00E84AFA" w:rsidRDefault="00E84AFA" w:rsidP="00E84AFA">
            <w:pPr>
              <w:rPr>
                <w:rFonts w:asciiTheme="minorHAnsi" w:hAnsiTheme="minorHAnsi" w:cstheme="minorHAnsi"/>
                <w:i/>
                <w:iCs/>
              </w:rPr>
            </w:pPr>
          </w:p>
        </w:tc>
        <w:tc>
          <w:tcPr>
            <w:tcW w:w="1640" w:type="dxa"/>
            <w:noWrap/>
            <w:hideMark/>
          </w:tcPr>
          <w:p w14:paraId="007DB7E0" w14:textId="4F4444F3" w:rsidR="00E84AFA" w:rsidRPr="00E84AFA" w:rsidRDefault="00E84AFA" w:rsidP="009C19BF">
            <w:pPr>
              <w:jc w:val="center"/>
              <w:rPr>
                <w:rFonts w:asciiTheme="minorHAnsi" w:hAnsiTheme="minorHAnsi" w:cstheme="minorHAnsi"/>
              </w:rPr>
            </w:pPr>
          </w:p>
        </w:tc>
        <w:tc>
          <w:tcPr>
            <w:tcW w:w="280" w:type="dxa"/>
            <w:noWrap/>
            <w:hideMark/>
          </w:tcPr>
          <w:p w14:paraId="7203BD4D" w14:textId="77777777" w:rsidR="00E84AFA" w:rsidRPr="00E84AFA" w:rsidRDefault="00E84AFA" w:rsidP="009C19BF">
            <w:pPr>
              <w:jc w:val="center"/>
              <w:rPr>
                <w:rFonts w:asciiTheme="minorHAnsi" w:hAnsiTheme="minorHAnsi" w:cstheme="minorHAnsi"/>
              </w:rPr>
            </w:pPr>
          </w:p>
        </w:tc>
        <w:tc>
          <w:tcPr>
            <w:tcW w:w="2207" w:type="dxa"/>
            <w:noWrap/>
            <w:hideMark/>
          </w:tcPr>
          <w:p w14:paraId="14822445" w14:textId="0915F8B8" w:rsidR="00E84AFA" w:rsidRPr="00E84AFA" w:rsidRDefault="00E84AFA" w:rsidP="009C19BF">
            <w:pPr>
              <w:jc w:val="center"/>
              <w:rPr>
                <w:rFonts w:asciiTheme="minorHAnsi" w:hAnsiTheme="minorHAnsi" w:cstheme="minorHAnsi"/>
              </w:rPr>
            </w:pPr>
          </w:p>
        </w:tc>
      </w:tr>
      <w:tr w:rsidR="00E84AFA" w:rsidRPr="00E84AFA" w14:paraId="48E2787F" w14:textId="77777777" w:rsidTr="00E84AFA">
        <w:trPr>
          <w:trHeight w:val="300"/>
        </w:trPr>
        <w:tc>
          <w:tcPr>
            <w:tcW w:w="5140" w:type="dxa"/>
            <w:noWrap/>
            <w:hideMark/>
          </w:tcPr>
          <w:p w14:paraId="6868500C" w14:textId="77777777" w:rsidR="00E84AFA" w:rsidRPr="00E84AFA" w:rsidRDefault="00E84AFA" w:rsidP="00E84AFA">
            <w:pPr>
              <w:rPr>
                <w:rFonts w:asciiTheme="minorHAnsi" w:hAnsiTheme="minorHAnsi" w:cstheme="minorHAnsi"/>
                <w:b/>
                <w:bCs/>
              </w:rPr>
            </w:pPr>
            <w:r w:rsidRPr="00E84AFA">
              <w:rPr>
                <w:rFonts w:asciiTheme="minorHAnsi" w:hAnsiTheme="minorHAnsi" w:cstheme="minorHAnsi"/>
                <w:b/>
                <w:bCs/>
              </w:rPr>
              <w:t>max FD adjusted by PF (original solution) - (kW)</w:t>
            </w:r>
          </w:p>
        </w:tc>
        <w:tc>
          <w:tcPr>
            <w:tcW w:w="1640" w:type="dxa"/>
            <w:noWrap/>
            <w:hideMark/>
          </w:tcPr>
          <w:p w14:paraId="04D3BE4B" w14:textId="56D7D18E" w:rsidR="00E84AFA" w:rsidRPr="00E84AFA" w:rsidRDefault="00E84AFA" w:rsidP="009C19BF">
            <w:pPr>
              <w:jc w:val="center"/>
              <w:rPr>
                <w:rFonts w:asciiTheme="minorHAnsi" w:hAnsiTheme="minorHAnsi" w:cstheme="minorHAnsi"/>
                <w:b/>
                <w:bCs/>
              </w:rPr>
            </w:pPr>
            <w:r w:rsidRPr="00E84AFA">
              <w:rPr>
                <w:rFonts w:asciiTheme="minorHAnsi" w:hAnsiTheme="minorHAnsi" w:cstheme="minorHAnsi"/>
                <w:b/>
                <w:bCs/>
              </w:rPr>
              <w:t>7,000</w:t>
            </w:r>
          </w:p>
        </w:tc>
        <w:tc>
          <w:tcPr>
            <w:tcW w:w="280" w:type="dxa"/>
            <w:noWrap/>
            <w:hideMark/>
          </w:tcPr>
          <w:p w14:paraId="4A38063B" w14:textId="77777777" w:rsidR="00E84AFA" w:rsidRPr="00E84AFA" w:rsidRDefault="00E84AFA" w:rsidP="009C19BF">
            <w:pPr>
              <w:jc w:val="center"/>
              <w:rPr>
                <w:rFonts w:asciiTheme="minorHAnsi" w:hAnsiTheme="minorHAnsi" w:cstheme="minorHAnsi"/>
                <w:b/>
                <w:bCs/>
              </w:rPr>
            </w:pPr>
          </w:p>
        </w:tc>
        <w:tc>
          <w:tcPr>
            <w:tcW w:w="2207" w:type="dxa"/>
            <w:noWrap/>
            <w:hideMark/>
          </w:tcPr>
          <w:p w14:paraId="6253EE1B" w14:textId="79DEAC24" w:rsidR="00E84AFA" w:rsidRPr="00E84AFA" w:rsidRDefault="00E84AFA" w:rsidP="009C19BF">
            <w:pPr>
              <w:jc w:val="center"/>
              <w:rPr>
                <w:rFonts w:asciiTheme="minorHAnsi" w:hAnsiTheme="minorHAnsi" w:cstheme="minorHAnsi"/>
                <w:b/>
                <w:bCs/>
              </w:rPr>
            </w:pPr>
            <w:r w:rsidRPr="00E84AFA">
              <w:rPr>
                <w:rFonts w:asciiTheme="minorHAnsi" w:hAnsiTheme="minorHAnsi" w:cstheme="minorHAnsi"/>
                <w:b/>
                <w:bCs/>
              </w:rPr>
              <w:t>8,000</w:t>
            </w:r>
          </w:p>
        </w:tc>
      </w:tr>
      <w:tr w:rsidR="00E84AFA" w:rsidRPr="00E84AFA" w14:paraId="64D754A9" w14:textId="77777777" w:rsidTr="00E84AFA">
        <w:trPr>
          <w:trHeight w:val="285"/>
        </w:trPr>
        <w:tc>
          <w:tcPr>
            <w:tcW w:w="5140" w:type="dxa"/>
            <w:noWrap/>
            <w:hideMark/>
          </w:tcPr>
          <w:p w14:paraId="33356F30"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max NFD adjusted by PF - (kW)</w:t>
            </w:r>
          </w:p>
        </w:tc>
        <w:tc>
          <w:tcPr>
            <w:tcW w:w="1640" w:type="dxa"/>
            <w:noWrap/>
            <w:hideMark/>
          </w:tcPr>
          <w:p w14:paraId="23F7501E" w14:textId="10CCA490" w:rsidR="00E84AFA" w:rsidRPr="00E84AFA" w:rsidRDefault="00E84AFA" w:rsidP="009C19BF">
            <w:pPr>
              <w:jc w:val="center"/>
              <w:rPr>
                <w:rFonts w:asciiTheme="minorHAnsi" w:hAnsiTheme="minorHAnsi" w:cstheme="minorHAnsi"/>
              </w:rPr>
            </w:pPr>
            <w:r w:rsidRPr="00E84AFA">
              <w:rPr>
                <w:rFonts w:asciiTheme="minorHAnsi" w:hAnsiTheme="minorHAnsi" w:cstheme="minorHAnsi"/>
              </w:rPr>
              <w:t>2,500</w:t>
            </w:r>
          </w:p>
        </w:tc>
        <w:tc>
          <w:tcPr>
            <w:tcW w:w="280" w:type="dxa"/>
            <w:noWrap/>
            <w:hideMark/>
          </w:tcPr>
          <w:p w14:paraId="61C953E8" w14:textId="77777777" w:rsidR="00E84AFA" w:rsidRPr="00E84AFA" w:rsidRDefault="00E84AFA" w:rsidP="009C19BF">
            <w:pPr>
              <w:jc w:val="center"/>
              <w:rPr>
                <w:rFonts w:asciiTheme="minorHAnsi" w:hAnsiTheme="minorHAnsi" w:cstheme="minorHAnsi"/>
              </w:rPr>
            </w:pPr>
          </w:p>
        </w:tc>
        <w:tc>
          <w:tcPr>
            <w:tcW w:w="2207" w:type="dxa"/>
            <w:noWrap/>
            <w:hideMark/>
          </w:tcPr>
          <w:p w14:paraId="03A4D04A" w14:textId="321A0154" w:rsidR="00E84AFA" w:rsidRPr="00E84AFA" w:rsidRDefault="00E84AFA" w:rsidP="009C19BF">
            <w:pPr>
              <w:jc w:val="center"/>
              <w:rPr>
                <w:rFonts w:asciiTheme="minorHAnsi" w:hAnsiTheme="minorHAnsi" w:cstheme="minorHAnsi"/>
              </w:rPr>
            </w:pPr>
            <w:r w:rsidRPr="00E84AFA">
              <w:rPr>
                <w:rFonts w:asciiTheme="minorHAnsi" w:hAnsiTheme="minorHAnsi" w:cstheme="minorHAnsi"/>
              </w:rPr>
              <w:t>2,500</w:t>
            </w:r>
          </w:p>
        </w:tc>
      </w:tr>
      <w:tr w:rsidR="00E84AFA" w:rsidRPr="00E84AFA" w14:paraId="27424F4A" w14:textId="77777777" w:rsidTr="00E84AFA">
        <w:trPr>
          <w:trHeight w:val="285"/>
        </w:trPr>
        <w:tc>
          <w:tcPr>
            <w:tcW w:w="5140" w:type="dxa"/>
            <w:noWrap/>
            <w:hideMark/>
          </w:tcPr>
          <w:p w14:paraId="33D7D6EC"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 </w:t>
            </w:r>
          </w:p>
        </w:tc>
        <w:tc>
          <w:tcPr>
            <w:tcW w:w="1640" w:type="dxa"/>
            <w:noWrap/>
            <w:hideMark/>
          </w:tcPr>
          <w:p w14:paraId="7A5CFB6A" w14:textId="2AB1B96D" w:rsidR="00E84AFA" w:rsidRPr="00E84AFA" w:rsidRDefault="00E84AFA" w:rsidP="009C19BF">
            <w:pPr>
              <w:jc w:val="center"/>
              <w:rPr>
                <w:rFonts w:asciiTheme="minorHAnsi" w:hAnsiTheme="minorHAnsi" w:cstheme="minorHAnsi"/>
              </w:rPr>
            </w:pPr>
          </w:p>
        </w:tc>
        <w:tc>
          <w:tcPr>
            <w:tcW w:w="280" w:type="dxa"/>
            <w:noWrap/>
            <w:hideMark/>
          </w:tcPr>
          <w:p w14:paraId="5C260FFC" w14:textId="77777777" w:rsidR="00E84AFA" w:rsidRPr="00E84AFA" w:rsidRDefault="00E84AFA" w:rsidP="009C19BF">
            <w:pPr>
              <w:jc w:val="center"/>
              <w:rPr>
                <w:rFonts w:asciiTheme="minorHAnsi" w:hAnsiTheme="minorHAnsi" w:cstheme="minorHAnsi"/>
              </w:rPr>
            </w:pPr>
          </w:p>
        </w:tc>
        <w:tc>
          <w:tcPr>
            <w:tcW w:w="2207" w:type="dxa"/>
            <w:noWrap/>
            <w:hideMark/>
          </w:tcPr>
          <w:p w14:paraId="3B4027C4" w14:textId="7F235021" w:rsidR="00E84AFA" w:rsidRPr="00E84AFA" w:rsidRDefault="00E84AFA" w:rsidP="009C19BF">
            <w:pPr>
              <w:jc w:val="center"/>
              <w:rPr>
                <w:rFonts w:asciiTheme="minorHAnsi" w:hAnsiTheme="minorHAnsi" w:cstheme="minorHAnsi"/>
              </w:rPr>
            </w:pPr>
          </w:p>
        </w:tc>
      </w:tr>
      <w:tr w:rsidR="00E84AFA" w:rsidRPr="00E84AFA" w14:paraId="6B1E421A" w14:textId="77777777" w:rsidTr="00E84AFA">
        <w:trPr>
          <w:trHeight w:val="285"/>
        </w:trPr>
        <w:tc>
          <w:tcPr>
            <w:tcW w:w="5140" w:type="dxa"/>
            <w:noWrap/>
            <w:hideMark/>
          </w:tcPr>
          <w:p w14:paraId="35E88F7E"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total max D (= max FD + max NFD)</w:t>
            </w:r>
          </w:p>
        </w:tc>
        <w:tc>
          <w:tcPr>
            <w:tcW w:w="1640" w:type="dxa"/>
            <w:noWrap/>
            <w:hideMark/>
          </w:tcPr>
          <w:p w14:paraId="35D5A4CC" w14:textId="2CCB0085" w:rsidR="00E84AFA" w:rsidRPr="00E84AFA" w:rsidRDefault="00E84AFA" w:rsidP="009C19BF">
            <w:pPr>
              <w:jc w:val="center"/>
              <w:rPr>
                <w:rFonts w:asciiTheme="minorHAnsi" w:hAnsiTheme="minorHAnsi" w:cstheme="minorHAnsi"/>
              </w:rPr>
            </w:pPr>
            <w:r w:rsidRPr="00E84AFA">
              <w:rPr>
                <w:rFonts w:asciiTheme="minorHAnsi" w:hAnsiTheme="minorHAnsi" w:cstheme="minorHAnsi"/>
              </w:rPr>
              <w:t>9,500</w:t>
            </w:r>
          </w:p>
        </w:tc>
        <w:tc>
          <w:tcPr>
            <w:tcW w:w="280" w:type="dxa"/>
            <w:noWrap/>
            <w:hideMark/>
          </w:tcPr>
          <w:p w14:paraId="601FFFA6" w14:textId="77777777" w:rsidR="00E84AFA" w:rsidRPr="00E84AFA" w:rsidRDefault="00E84AFA" w:rsidP="009C19BF">
            <w:pPr>
              <w:jc w:val="center"/>
              <w:rPr>
                <w:rFonts w:asciiTheme="minorHAnsi" w:hAnsiTheme="minorHAnsi" w:cstheme="minorHAnsi"/>
              </w:rPr>
            </w:pPr>
          </w:p>
        </w:tc>
        <w:tc>
          <w:tcPr>
            <w:tcW w:w="2207" w:type="dxa"/>
            <w:noWrap/>
            <w:hideMark/>
          </w:tcPr>
          <w:p w14:paraId="469F5F77" w14:textId="59A4CB0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10,500</w:t>
            </w:r>
          </w:p>
        </w:tc>
      </w:tr>
      <w:tr w:rsidR="00E84AFA" w:rsidRPr="00E84AFA" w14:paraId="583FEDF1" w14:textId="77777777" w:rsidTr="00E84AFA">
        <w:trPr>
          <w:trHeight w:val="285"/>
        </w:trPr>
        <w:tc>
          <w:tcPr>
            <w:tcW w:w="5140" w:type="dxa"/>
            <w:noWrap/>
            <w:hideMark/>
          </w:tcPr>
          <w:p w14:paraId="02DAD28A"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 xml:space="preserve">MIC </w:t>
            </w:r>
          </w:p>
        </w:tc>
        <w:tc>
          <w:tcPr>
            <w:tcW w:w="1640" w:type="dxa"/>
            <w:noWrap/>
            <w:hideMark/>
          </w:tcPr>
          <w:p w14:paraId="1FCBAB9C" w14:textId="01BC5BB4" w:rsidR="00E84AFA" w:rsidRPr="00E84AFA" w:rsidRDefault="00E84AFA" w:rsidP="009C19BF">
            <w:pPr>
              <w:jc w:val="center"/>
              <w:rPr>
                <w:rFonts w:asciiTheme="minorHAnsi" w:hAnsiTheme="minorHAnsi" w:cstheme="minorHAnsi"/>
              </w:rPr>
            </w:pPr>
            <w:r w:rsidRPr="00E84AFA">
              <w:rPr>
                <w:rFonts w:asciiTheme="minorHAnsi" w:hAnsiTheme="minorHAnsi" w:cstheme="minorHAnsi"/>
              </w:rPr>
              <w:t>10,000</w:t>
            </w:r>
          </w:p>
        </w:tc>
        <w:tc>
          <w:tcPr>
            <w:tcW w:w="280" w:type="dxa"/>
            <w:noWrap/>
            <w:hideMark/>
          </w:tcPr>
          <w:p w14:paraId="63835158" w14:textId="77777777" w:rsidR="00E84AFA" w:rsidRPr="00E84AFA" w:rsidRDefault="00E84AFA" w:rsidP="009C19BF">
            <w:pPr>
              <w:jc w:val="center"/>
              <w:rPr>
                <w:rFonts w:asciiTheme="minorHAnsi" w:hAnsiTheme="minorHAnsi" w:cstheme="minorHAnsi"/>
              </w:rPr>
            </w:pPr>
          </w:p>
        </w:tc>
        <w:tc>
          <w:tcPr>
            <w:tcW w:w="2207" w:type="dxa"/>
            <w:noWrap/>
            <w:hideMark/>
          </w:tcPr>
          <w:p w14:paraId="3FD48D5D" w14:textId="2A29E83E" w:rsidR="00E84AFA" w:rsidRPr="00E84AFA" w:rsidRDefault="00E84AFA" w:rsidP="009C19BF">
            <w:pPr>
              <w:jc w:val="center"/>
              <w:rPr>
                <w:rFonts w:asciiTheme="minorHAnsi" w:hAnsiTheme="minorHAnsi" w:cstheme="minorHAnsi"/>
              </w:rPr>
            </w:pPr>
            <w:r w:rsidRPr="00E84AFA">
              <w:rPr>
                <w:rFonts w:asciiTheme="minorHAnsi" w:hAnsiTheme="minorHAnsi" w:cstheme="minorHAnsi"/>
              </w:rPr>
              <w:t>10,000</w:t>
            </w:r>
          </w:p>
        </w:tc>
      </w:tr>
      <w:tr w:rsidR="00E84AFA" w:rsidRPr="00E84AFA" w14:paraId="6D0BC0F3" w14:textId="77777777" w:rsidTr="00E84AFA">
        <w:trPr>
          <w:trHeight w:val="285"/>
        </w:trPr>
        <w:tc>
          <w:tcPr>
            <w:tcW w:w="5140" w:type="dxa"/>
            <w:noWrap/>
            <w:hideMark/>
          </w:tcPr>
          <w:p w14:paraId="2798297E"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 </w:t>
            </w:r>
          </w:p>
        </w:tc>
        <w:tc>
          <w:tcPr>
            <w:tcW w:w="1640" w:type="dxa"/>
            <w:noWrap/>
            <w:hideMark/>
          </w:tcPr>
          <w:p w14:paraId="137C92AE" w14:textId="24BF5CB4" w:rsidR="00E84AFA" w:rsidRPr="00E84AFA" w:rsidRDefault="00E84AFA" w:rsidP="009C19BF">
            <w:pPr>
              <w:jc w:val="center"/>
              <w:rPr>
                <w:rFonts w:asciiTheme="minorHAnsi" w:hAnsiTheme="minorHAnsi" w:cstheme="minorHAnsi"/>
              </w:rPr>
            </w:pPr>
          </w:p>
        </w:tc>
        <w:tc>
          <w:tcPr>
            <w:tcW w:w="280" w:type="dxa"/>
            <w:noWrap/>
            <w:hideMark/>
          </w:tcPr>
          <w:p w14:paraId="2D13D0C3" w14:textId="77777777" w:rsidR="00E84AFA" w:rsidRPr="00E84AFA" w:rsidRDefault="00E84AFA" w:rsidP="009C19BF">
            <w:pPr>
              <w:jc w:val="center"/>
              <w:rPr>
                <w:rFonts w:asciiTheme="minorHAnsi" w:hAnsiTheme="minorHAnsi" w:cstheme="minorHAnsi"/>
              </w:rPr>
            </w:pPr>
          </w:p>
        </w:tc>
        <w:tc>
          <w:tcPr>
            <w:tcW w:w="2207" w:type="dxa"/>
            <w:noWrap/>
            <w:hideMark/>
          </w:tcPr>
          <w:p w14:paraId="6C3CA17A" w14:textId="5C54387C" w:rsidR="00E84AFA" w:rsidRPr="00E84AFA" w:rsidRDefault="00E84AFA" w:rsidP="009C19BF">
            <w:pPr>
              <w:jc w:val="center"/>
              <w:rPr>
                <w:rFonts w:asciiTheme="minorHAnsi" w:hAnsiTheme="minorHAnsi" w:cstheme="minorHAnsi"/>
              </w:rPr>
            </w:pPr>
          </w:p>
        </w:tc>
      </w:tr>
      <w:tr w:rsidR="00E84AFA" w:rsidRPr="00E84AFA" w14:paraId="7BDAB198" w14:textId="77777777" w:rsidTr="00E84AFA">
        <w:trPr>
          <w:trHeight w:val="285"/>
        </w:trPr>
        <w:tc>
          <w:tcPr>
            <w:tcW w:w="5140" w:type="dxa"/>
            <w:noWrap/>
            <w:hideMark/>
          </w:tcPr>
          <w:p w14:paraId="76F61F63"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max FD as share of total max D (%)</w:t>
            </w:r>
          </w:p>
        </w:tc>
        <w:tc>
          <w:tcPr>
            <w:tcW w:w="1640" w:type="dxa"/>
            <w:noWrap/>
            <w:hideMark/>
          </w:tcPr>
          <w:p w14:paraId="5B1F1592" w14:textId="7777777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73.68%</w:t>
            </w:r>
          </w:p>
        </w:tc>
        <w:tc>
          <w:tcPr>
            <w:tcW w:w="280" w:type="dxa"/>
            <w:noWrap/>
            <w:hideMark/>
          </w:tcPr>
          <w:p w14:paraId="528B5E93" w14:textId="77777777" w:rsidR="00E84AFA" w:rsidRPr="00E84AFA" w:rsidRDefault="00E84AFA" w:rsidP="009C19BF">
            <w:pPr>
              <w:jc w:val="center"/>
              <w:rPr>
                <w:rFonts w:asciiTheme="minorHAnsi" w:hAnsiTheme="minorHAnsi" w:cstheme="minorHAnsi"/>
              </w:rPr>
            </w:pPr>
          </w:p>
        </w:tc>
        <w:tc>
          <w:tcPr>
            <w:tcW w:w="2207" w:type="dxa"/>
            <w:noWrap/>
            <w:hideMark/>
          </w:tcPr>
          <w:p w14:paraId="47B813C1" w14:textId="77777777" w:rsidR="00E84AFA" w:rsidRPr="00E84AFA" w:rsidRDefault="00E84AFA" w:rsidP="009C19BF">
            <w:pPr>
              <w:jc w:val="center"/>
              <w:rPr>
                <w:rFonts w:asciiTheme="minorHAnsi" w:hAnsiTheme="minorHAnsi" w:cstheme="minorHAnsi"/>
              </w:rPr>
            </w:pPr>
            <w:r w:rsidRPr="00E84AFA">
              <w:rPr>
                <w:rFonts w:asciiTheme="minorHAnsi" w:hAnsiTheme="minorHAnsi" w:cstheme="minorHAnsi"/>
              </w:rPr>
              <w:t>76.19%</w:t>
            </w:r>
          </w:p>
        </w:tc>
      </w:tr>
      <w:tr w:rsidR="00E84AFA" w:rsidRPr="00E84AFA" w14:paraId="286D7719" w14:textId="77777777" w:rsidTr="00E84AFA">
        <w:trPr>
          <w:trHeight w:val="285"/>
        </w:trPr>
        <w:tc>
          <w:tcPr>
            <w:tcW w:w="5140" w:type="dxa"/>
            <w:noWrap/>
            <w:hideMark/>
          </w:tcPr>
          <w:p w14:paraId="0FDC164C"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 </w:t>
            </w:r>
          </w:p>
        </w:tc>
        <w:tc>
          <w:tcPr>
            <w:tcW w:w="1640" w:type="dxa"/>
            <w:noWrap/>
            <w:hideMark/>
          </w:tcPr>
          <w:p w14:paraId="095021AD" w14:textId="2607D7BF" w:rsidR="00E84AFA" w:rsidRPr="00E84AFA" w:rsidRDefault="00E84AFA" w:rsidP="009C19BF">
            <w:pPr>
              <w:jc w:val="center"/>
              <w:rPr>
                <w:rFonts w:asciiTheme="minorHAnsi" w:hAnsiTheme="minorHAnsi" w:cstheme="minorHAnsi"/>
              </w:rPr>
            </w:pPr>
          </w:p>
        </w:tc>
        <w:tc>
          <w:tcPr>
            <w:tcW w:w="280" w:type="dxa"/>
            <w:noWrap/>
            <w:hideMark/>
          </w:tcPr>
          <w:p w14:paraId="6228A8EF" w14:textId="77777777" w:rsidR="00E84AFA" w:rsidRPr="00E84AFA" w:rsidRDefault="00E84AFA" w:rsidP="009C19BF">
            <w:pPr>
              <w:jc w:val="center"/>
              <w:rPr>
                <w:rFonts w:asciiTheme="minorHAnsi" w:hAnsiTheme="minorHAnsi" w:cstheme="minorHAnsi"/>
              </w:rPr>
            </w:pPr>
          </w:p>
        </w:tc>
        <w:tc>
          <w:tcPr>
            <w:tcW w:w="2207" w:type="dxa"/>
            <w:noWrap/>
            <w:hideMark/>
          </w:tcPr>
          <w:p w14:paraId="4CE5D6C7" w14:textId="15EC870B" w:rsidR="00E84AFA" w:rsidRPr="00E84AFA" w:rsidRDefault="00E84AFA" w:rsidP="009C19BF">
            <w:pPr>
              <w:jc w:val="center"/>
              <w:rPr>
                <w:rFonts w:asciiTheme="minorHAnsi" w:hAnsiTheme="minorHAnsi" w:cstheme="minorHAnsi"/>
              </w:rPr>
            </w:pPr>
          </w:p>
        </w:tc>
      </w:tr>
      <w:tr w:rsidR="00E84AFA" w:rsidRPr="00E84AFA" w14:paraId="56CF654B" w14:textId="77777777" w:rsidTr="00E84AFA">
        <w:trPr>
          <w:trHeight w:val="300"/>
        </w:trPr>
        <w:tc>
          <w:tcPr>
            <w:tcW w:w="5140" w:type="dxa"/>
            <w:noWrap/>
            <w:hideMark/>
          </w:tcPr>
          <w:p w14:paraId="0A7EB5A7" w14:textId="77777777" w:rsidR="00E84AFA" w:rsidRPr="00E84AFA" w:rsidRDefault="00E84AFA" w:rsidP="00E84AFA">
            <w:pPr>
              <w:rPr>
                <w:rFonts w:asciiTheme="minorHAnsi" w:hAnsiTheme="minorHAnsi" w:cstheme="minorHAnsi"/>
                <w:b/>
                <w:bCs/>
              </w:rPr>
            </w:pPr>
            <w:r w:rsidRPr="00E84AFA">
              <w:rPr>
                <w:rFonts w:asciiTheme="minorHAnsi" w:hAnsiTheme="minorHAnsi" w:cstheme="minorHAnsi"/>
                <w:b/>
                <w:bCs/>
              </w:rPr>
              <w:t>potential alternative:</w:t>
            </w:r>
          </w:p>
        </w:tc>
        <w:tc>
          <w:tcPr>
            <w:tcW w:w="1640" w:type="dxa"/>
            <w:noWrap/>
            <w:hideMark/>
          </w:tcPr>
          <w:p w14:paraId="3A0B8AA8" w14:textId="2E055D81" w:rsidR="00E84AFA" w:rsidRPr="00E84AFA" w:rsidRDefault="00E84AFA" w:rsidP="009C19BF">
            <w:pPr>
              <w:jc w:val="center"/>
              <w:rPr>
                <w:rFonts w:asciiTheme="minorHAnsi" w:hAnsiTheme="minorHAnsi" w:cstheme="minorHAnsi"/>
                <w:b/>
                <w:bCs/>
              </w:rPr>
            </w:pPr>
          </w:p>
        </w:tc>
        <w:tc>
          <w:tcPr>
            <w:tcW w:w="280" w:type="dxa"/>
            <w:noWrap/>
            <w:hideMark/>
          </w:tcPr>
          <w:p w14:paraId="67D31157" w14:textId="77777777" w:rsidR="00E84AFA" w:rsidRPr="00E84AFA" w:rsidRDefault="00E84AFA" w:rsidP="009C19BF">
            <w:pPr>
              <w:jc w:val="center"/>
              <w:rPr>
                <w:rFonts w:asciiTheme="minorHAnsi" w:hAnsiTheme="minorHAnsi" w:cstheme="minorHAnsi"/>
                <w:b/>
                <w:bCs/>
              </w:rPr>
            </w:pPr>
          </w:p>
        </w:tc>
        <w:tc>
          <w:tcPr>
            <w:tcW w:w="2207" w:type="dxa"/>
            <w:noWrap/>
            <w:hideMark/>
          </w:tcPr>
          <w:p w14:paraId="274D2D4B" w14:textId="1EE0F3A9" w:rsidR="00E84AFA" w:rsidRPr="00E84AFA" w:rsidRDefault="00E84AFA" w:rsidP="009C19BF">
            <w:pPr>
              <w:jc w:val="center"/>
              <w:rPr>
                <w:rFonts w:asciiTheme="minorHAnsi" w:hAnsiTheme="minorHAnsi" w:cstheme="minorHAnsi"/>
                <w:b/>
                <w:bCs/>
              </w:rPr>
            </w:pPr>
          </w:p>
        </w:tc>
      </w:tr>
      <w:tr w:rsidR="00E84AFA" w:rsidRPr="00E84AFA" w14:paraId="0B6BA8BD" w14:textId="77777777" w:rsidTr="00E84AFA">
        <w:trPr>
          <w:trHeight w:val="300"/>
        </w:trPr>
        <w:tc>
          <w:tcPr>
            <w:tcW w:w="5140" w:type="dxa"/>
            <w:noWrap/>
            <w:hideMark/>
          </w:tcPr>
          <w:p w14:paraId="6D6DE049" w14:textId="51D9B810" w:rsidR="00E84AFA" w:rsidRPr="00E84AFA" w:rsidRDefault="00E84AFA" w:rsidP="00E84AFA">
            <w:pPr>
              <w:rPr>
                <w:rFonts w:asciiTheme="minorHAnsi" w:hAnsiTheme="minorHAnsi" w:cstheme="minorHAnsi"/>
                <w:b/>
                <w:bCs/>
              </w:rPr>
            </w:pPr>
            <w:r w:rsidRPr="00E84AFA">
              <w:rPr>
                <w:rFonts w:asciiTheme="minorHAnsi" w:hAnsiTheme="minorHAnsi" w:cstheme="minorHAnsi"/>
                <w:b/>
                <w:bCs/>
              </w:rPr>
              <w:t>max FD as share of total max D (</w:t>
            </w:r>
            <w:proofErr w:type="gramStart"/>
            <w:r w:rsidRPr="00E84AFA">
              <w:rPr>
                <w:rFonts w:asciiTheme="minorHAnsi" w:hAnsiTheme="minorHAnsi" w:cstheme="minorHAnsi"/>
                <w:b/>
                <w:bCs/>
              </w:rPr>
              <w:t>%)  x</w:t>
            </w:r>
            <w:proofErr w:type="gramEnd"/>
            <w:r w:rsidRPr="00E84AFA">
              <w:rPr>
                <w:rFonts w:asciiTheme="minorHAnsi" w:hAnsiTheme="minorHAnsi" w:cstheme="minorHAnsi"/>
                <w:b/>
                <w:bCs/>
              </w:rPr>
              <w:t xml:space="preserve">  MIC</w:t>
            </w:r>
          </w:p>
        </w:tc>
        <w:tc>
          <w:tcPr>
            <w:tcW w:w="1640" w:type="dxa"/>
            <w:noWrap/>
            <w:hideMark/>
          </w:tcPr>
          <w:p w14:paraId="2B423BE5" w14:textId="3BC8971B" w:rsidR="00E84AFA" w:rsidRPr="00E84AFA" w:rsidRDefault="00E84AFA" w:rsidP="009C19BF">
            <w:pPr>
              <w:jc w:val="center"/>
              <w:rPr>
                <w:rFonts w:asciiTheme="minorHAnsi" w:hAnsiTheme="minorHAnsi" w:cstheme="minorHAnsi"/>
                <w:b/>
                <w:bCs/>
              </w:rPr>
            </w:pPr>
            <w:r w:rsidRPr="00E84AFA">
              <w:rPr>
                <w:rFonts w:asciiTheme="minorHAnsi" w:hAnsiTheme="minorHAnsi" w:cstheme="minorHAnsi"/>
                <w:b/>
                <w:bCs/>
              </w:rPr>
              <w:t>7,368.42</w:t>
            </w:r>
          </w:p>
        </w:tc>
        <w:tc>
          <w:tcPr>
            <w:tcW w:w="280" w:type="dxa"/>
            <w:noWrap/>
            <w:hideMark/>
          </w:tcPr>
          <w:p w14:paraId="27007EE9" w14:textId="77777777" w:rsidR="00E84AFA" w:rsidRPr="00E84AFA" w:rsidRDefault="00E84AFA" w:rsidP="009C19BF">
            <w:pPr>
              <w:jc w:val="center"/>
              <w:rPr>
                <w:rFonts w:asciiTheme="minorHAnsi" w:hAnsiTheme="minorHAnsi" w:cstheme="minorHAnsi"/>
                <w:b/>
                <w:bCs/>
              </w:rPr>
            </w:pPr>
          </w:p>
        </w:tc>
        <w:tc>
          <w:tcPr>
            <w:tcW w:w="2207" w:type="dxa"/>
            <w:noWrap/>
            <w:hideMark/>
          </w:tcPr>
          <w:p w14:paraId="59116565" w14:textId="243A86BA" w:rsidR="00E84AFA" w:rsidRPr="00E84AFA" w:rsidRDefault="00E84AFA" w:rsidP="009C19BF">
            <w:pPr>
              <w:jc w:val="center"/>
              <w:rPr>
                <w:rFonts w:asciiTheme="minorHAnsi" w:hAnsiTheme="minorHAnsi" w:cstheme="minorHAnsi"/>
                <w:b/>
                <w:bCs/>
              </w:rPr>
            </w:pPr>
            <w:r w:rsidRPr="00E84AFA">
              <w:rPr>
                <w:rFonts w:asciiTheme="minorHAnsi" w:hAnsiTheme="minorHAnsi" w:cstheme="minorHAnsi"/>
                <w:b/>
                <w:bCs/>
              </w:rPr>
              <w:t>7,619.05</w:t>
            </w:r>
          </w:p>
        </w:tc>
      </w:tr>
      <w:tr w:rsidR="00E84AFA" w:rsidRPr="00E84AFA" w14:paraId="645AC1E6" w14:textId="77777777" w:rsidTr="00E84AFA">
        <w:trPr>
          <w:trHeight w:val="285"/>
        </w:trPr>
        <w:tc>
          <w:tcPr>
            <w:tcW w:w="5140" w:type="dxa"/>
            <w:noWrap/>
            <w:hideMark/>
          </w:tcPr>
          <w:p w14:paraId="3C35145B"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 </w:t>
            </w:r>
          </w:p>
        </w:tc>
        <w:tc>
          <w:tcPr>
            <w:tcW w:w="1640" w:type="dxa"/>
            <w:noWrap/>
            <w:hideMark/>
          </w:tcPr>
          <w:p w14:paraId="5B5ABBA7" w14:textId="744F59B2" w:rsidR="00E84AFA" w:rsidRPr="00E84AFA" w:rsidRDefault="00E84AFA" w:rsidP="009C19BF">
            <w:pPr>
              <w:jc w:val="center"/>
              <w:rPr>
                <w:rFonts w:asciiTheme="minorHAnsi" w:hAnsiTheme="minorHAnsi" w:cstheme="minorHAnsi"/>
              </w:rPr>
            </w:pPr>
          </w:p>
        </w:tc>
        <w:tc>
          <w:tcPr>
            <w:tcW w:w="280" w:type="dxa"/>
            <w:noWrap/>
            <w:hideMark/>
          </w:tcPr>
          <w:p w14:paraId="42DDD248" w14:textId="77777777" w:rsidR="00E84AFA" w:rsidRPr="00E84AFA" w:rsidRDefault="00E84AFA" w:rsidP="009C19BF">
            <w:pPr>
              <w:jc w:val="center"/>
              <w:rPr>
                <w:rFonts w:asciiTheme="minorHAnsi" w:hAnsiTheme="minorHAnsi" w:cstheme="minorHAnsi"/>
              </w:rPr>
            </w:pPr>
          </w:p>
        </w:tc>
        <w:tc>
          <w:tcPr>
            <w:tcW w:w="2207" w:type="dxa"/>
            <w:noWrap/>
            <w:hideMark/>
          </w:tcPr>
          <w:p w14:paraId="52D8DB1D" w14:textId="2330F07C" w:rsidR="00E84AFA" w:rsidRPr="00E84AFA" w:rsidRDefault="00E84AFA" w:rsidP="009C19BF">
            <w:pPr>
              <w:jc w:val="center"/>
              <w:rPr>
                <w:rFonts w:asciiTheme="minorHAnsi" w:hAnsiTheme="minorHAnsi" w:cstheme="minorHAnsi"/>
              </w:rPr>
            </w:pPr>
          </w:p>
        </w:tc>
      </w:tr>
      <w:tr w:rsidR="00E84AFA" w:rsidRPr="00E84AFA" w14:paraId="356F4F3A" w14:textId="77777777" w:rsidTr="00E84AFA">
        <w:trPr>
          <w:trHeight w:val="285"/>
        </w:trPr>
        <w:tc>
          <w:tcPr>
            <w:tcW w:w="5140" w:type="dxa"/>
            <w:noWrap/>
            <w:hideMark/>
          </w:tcPr>
          <w:p w14:paraId="08CD70A5" w14:textId="77777777" w:rsidR="00E84AFA" w:rsidRPr="00E84AFA" w:rsidRDefault="00E84AFA" w:rsidP="00E84AFA">
            <w:pPr>
              <w:rPr>
                <w:rFonts w:asciiTheme="minorHAnsi" w:hAnsiTheme="minorHAnsi" w:cstheme="minorHAnsi"/>
              </w:rPr>
            </w:pPr>
            <w:r w:rsidRPr="00E84AFA">
              <w:rPr>
                <w:rFonts w:asciiTheme="minorHAnsi" w:hAnsiTheme="minorHAnsi" w:cstheme="minorHAnsi"/>
              </w:rPr>
              <w:t>difference MIC less total D</w:t>
            </w:r>
          </w:p>
        </w:tc>
        <w:tc>
          <w:tcPr>
            <w:tcW w:w="1640" w:type="dxa"/>
            <w:noWrap/>
            <w:hideMark/>
          </w:tcPr>
          <w:p w14:paraId="4C67267C" w14:textId="7084D36A" w:rsidR="00E84AFA" w:rsidRPr="00E84AFA" w:rsidRDefault="00E84AFA" w:rsidP="009C19BF">
            <w:pPr>
              <w:jc w:val="center"/>
              <w:rPr>
                <w:rFonts w:asciiTheme="minorHAnsi" w:hAnsiTheme="minorHAnsi" w:cstheme="minorHAnsi"/>
              </w:rPr>
            </w:pPr>
            <w:r w:rsidRPr="00E84AFA">
              <w:rPr>
                <w:rFonts w:asciiTheme="minorHAnsi" w:hAnsiTheme="minorHAnsi" w:cstheme="minorHAnsi"/>
              </w:rPr>
              <w:t>500.00</w:t>
            </w:r>
          </w:p>
        </w:tc>
        <w:tc>
          <w:tcPr>
            <w:tcW w:w="280" w:type="dxa"/>
            <w:noWrap/>
            <w:hideMark/>
          </w:tcPr>
          <w:p w14:paraId="2C3C33E5" w14:textId="77777777" w:rsidR="00E84AFA" w:rsidRPr="00E84AFA" w:rsidRDefault="00E84AFA" w:rsidP="009C19BF">
            <w:pPr>
              <w:jc w:val="center"/>
              <w:rPr>
                <w:rFonts w:asciiTheme="minorHAnsi" w:hAnsiTheme="minorHAnsi" w:cstheme="minorHAnsi"/>
              </w:rPr>
            </w:pPr>
          </w:p>
        </w:tc>
        <w:tc>
          <w:tcPr>
            <w:tcW w:w="2207" w:type="dxa"/>
            <w:noWrap/>
            <w:hideMark/>
          </w:tcPr>
          <w:p w14:paraId="1C9FB1A9" w14:textId="0FE43AF8" w:rsidR="00E84AFA" w:rsidRPr="00E84AFA" w:rsidRDefault="00E84AFA" w:rsidP="009C19BF">
            <w:pPr>
              <w:jc w:val="center"/>
              <w:rPr>
                <w:rFonts w:asciiTheme="minorHAnsi" w:hAnsiTheme="minorHAnsi" w:cstheme="minorHAnsi"/>
              </w:rPr>
            </w:pPr>
            <w:r w:rsidRPr="00E84AFA">
              <w:rPr>
                <w:rFonts w:asciiTheme="minorHAnsi" w:hAnsiTheme="minorHAnsi" w:cstheme="minorHAnsi"/>
              </w:rPr>
              <w:t>- 500.00</w:t>
            </w:r>
          </w:p>
        </w:tc>
      </w:tr>
    </w:tbl>
    <w:p w14:paraId="072ACD90" w14:textId="77777777" w:rsidR="00E84AFA" w:rsidRPr="00957588" w:rsidRDefault="00E84AFA">
      <w:pPr>
        <w:rPr>
          <w:rFonts w:asciiTheme="minorHAnsi" w:hAnsiTheme="minorHAnsi" w:cstheme="minorHAnsi"/>
        </w:rPr>
      </w:pPr>
    </w:p>
    <w:sectPr w:rsidR="00E84AFA" w:rsidRPr="009575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3611"/>
    <w:multiLevelType w:val="hybridMultilevel"/>
    <w:tmpl w:val="BAB8D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D106A5"/>
    <w:multiLevelType w:val="hybridMultilevel"/>
    <w:tmpl w:val="1C9001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0D90398"/>
    <w:multiLevelType w:val="hybridMultilevel"/>
    <w:tmpl w:val="27846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98141808">
    <w:abstractNumId w:val="2"/>
  </w:num>
  <w:num w:numId="2" w16cid:durableId="841817566">
    <w:abstractNumId w:val="2"/>
  </w:num>
  <w:num w:numId="3" w16cid:durableId="1237206964">
    <w:abstractNumId w:val="0"/>
  </w:num>
  <w:num w:numId="4" w16cid:durableId="1746487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F74"/>
    <w:rsid w:val="00025C8A"/>
    <w:rsid w:val="00073622"/>
    <w:rsid w:val="000A37FA"/>
    <w:rsid w:val="000D23CB"/>
    <w:rsid w:val="0010460D"/>
    <w:rsid w:val="00123863"/>
    <w:rsid w:val="00154483"/>
    <w:rsid w:val="001C4CB7"/>
    <w:rsid w:val="001F6E8D"/>
    <w:rsid w:val="0034586A"/>
    <w:rsid w:val="003669E7"/>
    <w:rsid w:val="003A36AA"/>
    <w:rsid w:val="003A4C48"/>
    <w:rsid w:val="003D381E"/>
    <w:rsid w:val="00516495"/>
    <w:rsid w:val="005E74A3"/>
    <w:rsid w:val="006618C9"/>
    <w:rsid w:val="00765FBC"/>
    <w:rsid w:val="00870ABC"/>
    <w:rsid w:val="0087188F"/>
    <w:rsid w:val="008D623B"/>
    <w:rsid w:val="008F0D73"/>
    <w:rsid w:val="009334D5"/>
    <w:rsid w:val="00957588"/>
    <w:rsid w:val="00971871"/>
    <w:rsid w:val="009C19BF"/>
    <w:rsid w:val="009C3D00"/>
    <w:rsid w:val="00A66849"/>
    <w:rsid w:val="00AD7125"/>
    <w:rsid w:val="00B45AEB"/>
    <w:rsid w:val="00C66EA0"/>
    <w:rsid w:val="00D13F74"/>
    <w:rsid w:val="00E319BF"/>
    <w:rsid w:val="00E84AFA"/>
    <w:rsid w:val="00F8047B"/>
    <w:rsid w:val="00F818B2"/>
    <w:rsid w:val="00FC3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6BE14"/>
  <w15:chartTrackingRefBased/>
  <w15:docId w15:val="{2A5560C9-A4F9-42A9-8A3F-C9014C61D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7588"/>
    <w:pPr>
      <w:spacing w:after="0" w:line="240" w:lineRule="auto"/>
      <w:ind w:left="720"/>
    </w:pPr>
    <w:rPr>
      <w:rFonts w:ascii="Calibri" w:hAnsi="Calibri" w:cs="Calibri"/>
      <w:kern w:val="0"/>
      <w:lang w:val="en-GB"/>
    </w:rPr>
  </w:style>
  <w:style w:type="table" w:styleId="TableGrid">
    <w:name w:val="Table Grid"/>
    <w:basedOn w:val="TableNormal"/>
    <w:uiPriority w:val="39"/>
    <w:rsid w:val="00E84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6E8D"/>
    <w:pPr>
      <w:spacing w:after="0" w:line="240" w:lineRule="auto"/>
    </w:pPr>
  </w:style>
  <w:style w:type="character" w:styleId="Hyperlink">
    <w:name w:val="Hyperlink"/>
    <w:basedOn w:val="DefaultParagraphFont"/>
    <w:uiPriority w:val="99"/>
    <w:unhideWhenUsed/>
    <w:rsid w:val="00F818B2"/>
    <w:rPr>
      <w:color w:val="0563C1" w:themeColor="hyperlink"/>
      <w:u w:val="single"/>
    </w:rPr>
  </w:style>
  <w:style w:type="character" w:styleId="UnresolvedMention">
    <w:name w:val="Unresolved Mention"/>
    <w:basedOn w:val="DefaultParagraphFont"/>
    <w:uiPriority w:val="99"/>
    <w:semiHidden/>
    <w:unhideWhenUsed/>
    <w:rsid w:val="00F818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869437">
      <w:bodyDiv w:val="1"/>
      <w:marLeft w:val="0"/>
      <w:marRight w:val="0"/>
      <w:marTop w:val="0"/>
      <w:marBottom w:val="0"/>
      <w:divBdr>
        <w:top w:val="none" w:sz="0" w:space="0" w:color="auto"/>
        <w:left w:val="none" w:sz="0" w:space="0" w:color="auto"/>
        <w:bottom w:val="none" w:sz="0" w:space="0" w:color="auto"/>
        <w:right w:val="none" w:sz="0" w:space="0" w:color="auto"/>
      </w:divBdr>
    </w:div>
    <w:div w:id="1116365593">
      <w:bodyDiv w:val="1"/>
      <w:marLeft w:val="0"/>
      <w:marRight w:val="0"/>
      <w:marTop w:val="0"/>
      <w:marBottom w:val="0"/>
      <w:divBdr>
        <w:top w:val="none" w:sz="0" w:space="0" w:color="auto"/>
        <w:left w:val="none" w:sz="0" w:space="0" w:color="auto"/>
        <w:bottom w:val="none" w:sz="0" w:space="0" w:color="auto"/>
        <w:right w:val="none" w:sz="0" w:space="0" w:color="auto"/>
      </w:divBdr>
    </w:div>
    <w:div w:id="1796633893">
      <w:bodyDiv w:val="1"/>
      <w:marLeft w:val="0"/>
      <w:marRight w:val="0"/>
      <w:marTop w:val="0"/>
      <w:marBottom w:val="0"/>
      <w:divBdr>
        <w:top w:val="none" w:sz="0" w:space="0" w:color="auto"/>
        <w:left w:val="none" w:sz="0" w:space="0" w:color="auto"/>
        <w:bottom w:val="none" w:sz="0" w:space="0" w:color="auto"/>
        <w:right w:val="none" w:sz="0" w:space="0" w:color="auto"/>
      </w:divBdr>
    </w:div>
    <w:div w:id="183475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lexon.co.uk/mod-proposal/p39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3894</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SSE PLC</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Dirks, Edda</dc:creator>
  <cp:keywords/>
  <dc:description/>
  <cp:lastModifiedBy>Andy Green</cp:lastModifiedBy>
  <cp:revision>2</cp:revision>
  <dcterms:created xsi:type="dcterms:W3CDTF">2023-10-06T09:33:00Z</dcterms:created>
  <dcterms:modified xsi:type="dcterms:W3CDTF">2023-10-06T09:33:00Z</dcterms:modified>
</cp:coreProperties>
</file>